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AE" w:rsidRDefault="00661835" w:rsidP="001E5FAE">
      <w:pPr>
        <w:jc w:val="center"/>
        <w:rPr>
          <w:noProof/>
        </w:rPr>
      </w:pPr>
      <w:r>
        <w:rPr>
          <w:noProof/>
          <w:sz w:val="52"/>
          <w:szCs w:val="52"/>
          <w:lang w:eastAsia="hu-HU"/>
        </w:rPr>
        <w:drawing>
          <wp:inline distT="0" distB="0" distL="0" distR="0" wp14:anchorId="7158E265" wp14:editId="79F23014">
            <wp:extent cx="1908313" cy="172141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82" cy="173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FAE" w:rsidRPr="00661835" w:rsidRDefault="001E5FAE" w:rsidP="001E5FAE">
      <w:pPr>
        <w:jc w:val="center"/>
        <w:rPr>
          <w:noProof/>
          <w:sz w:val="32"/>
          <w:szCs w:val="32"/>
        </w:rPr>
      </w:pPr>
    </w:p>
    <w:p w:rsidR="001E5FAE" w:rsidRPr="00721CB9" w:rsidRDefault="001E5FAE" w:rsidP="001E5FAE">
      <w:pPr>
        <w:spacing w:after="0"/>
        <w:jc w:val="center"/>
        <w:rPr>
          <w:b/>
          <w:noProof/>
          <w:sz w:val="52"/>
          <w:szCs w:val="52"/>
        </w:rPr>
      </w:pPr>
      <w:r w:rsidRPr="00721CB9">
        <w:rPr>
          <w:b/>
          <w:noProof/>
          <w:sz w:val="52"/>
          <w:szCs w:val="52"/>
        </w:rPr>
        <w:t>Az intézmény egészére vonatkozó</w:t>
      </w:r>
    </w:p>
    <w:p w:rsidR="001E5FAE" w:rsidRDefault="001E5FAE" w:rsidP="001E5FAE">
      <w:pPr>
        <w:jc w:val="center"/>
        <w:rPr>
          <w:noProof/>
          <w:sz w:val="52"/>
          <w:szCs w:val="52"/>
        </w:rPr>
      </w:pPr>
      <w:r w:rsidRPr="00721CB9">
        <w:rPr>
          <w:b/>
          <w:noProof/>
          <w:sz w:val="52"/>
          <w:szCs w:val="52"/>
        </w:rPr>
        <w:t>hallgatói elégedettségmérés eredményei</w:t>
      </w:r>
    </w:p>
    <w:p w:rsidR="001E5FAE" w:rsidRPr="00721CB9" w:rsidRDefault="001E5FAE" w:rsidP="001E5FAE">
      <w:pPr>
        <w:jc w:val="center"/>
        <w:rPr>
          <w:noProof/>
          <w:sz w:val="52"/>
          <w:szCs w:val="52"/>
        </w:rPr>
      </w:pPr>
      <w:r w:rsidRPr="00721CB9">
        <w:rPr>
          <w:noProof/>
          <w:sz w:val="52"/>
          <w:szCs w:val="52"/>
        </w:rPr>
        <w:t xml:space="preserve">Nyíregyházi </w:t>
      </w:r>
      <w:r w:rsidR="00661835">
        <w:rPr>
          <w:noProof/>
          <w:sz w:val="52"/>
          <w:szCs w:val="52"/>
        </w:rPr>
        <w:t>Egyetem</w:t>
      </w:r>
    </w:p>
    <w:p w:rsidR="001E5FAE" w:rsidRDefault="001E5FAE" w:rsidP="001E5FAE">
      <w:pPr>
        <w:jc w:val="center"/>
        <w:rPr>
          <w:noProof/>
          <w:sz w:val="52"/>
          <w:szCs w:val="52"/>
        </w:rPr>
      </w:pPr>
      <w:r>
        <w:rPr>
          <w:noProof/>
          <w:sz w:val="52"/>
          <w:szCs w:val="52"/>
        </w:rPr>
        <w:t>2011 – 2012 – 2013 – 2014</w:t>
      </w:r>
      <w:r w:rsidR="0075460B">
        <w:rPr>
          <w:noProof/>
          <w:sz w:val="52"/>
          <w:szCs w:val="52"/>
        </w:rPr>
        <w:t xml:space="preserve"> – 2015</w:t>
      </w:r>
      <w:r w:rsidR="00661835">
        <w:rPr>
          <w:noProof/>
          <w:sz w:val="52"/>
          <w:szCs w:val="52"/>
        </w:rPr>
        <w:t xml:space="preserve"> – 2016</w:t>
      </w:r>
      <w:r w:rsidR="00003C24">
        <w:rPr>
          <w:noProof/>
          <w:sz w:val="52"/>
          <w:szCs w:val="52"/>
        </w:rPr>
        <w:t xml:space="preserve"> – 2017</w:t>
      </w:r>
      <w:r w:rsidR="00BF2EC6">
        <w:rPr>
          <w:noProof/>
          <w:sz w:val="52"/>
          <w:szCs w:val="52"/>
        </w:rPr>
        <w:t xml:space="preserve"> – 2018</w:t>
      </w:r>
    </w:p>
    <w:p w:rsidR="001E5FAE" w:rsidRDefault="001E5FAE" w:rsidP="001E5FAE">
      <w:pPr>
        <w:rPr>
          <w:noProof/>
        </w:rPr>
      </w:pP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11B5B476" wp14:editId="02D8CE37">
            <wp:extent cx="8429625" cy="4743450"/>
            <wp:effectExtent l="0" t="0" r="9525" b="0"/>
            <wp:docPr id="20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rPr>
          <w:noProof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 wp14:anchorId="526BC210" wp14:editId="0B00AE7E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8610600" cy="5724525"/>
            <wp:effectExtent l="0" t="0" r="0" b="952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1E5FAE" w:rsidRDefault="001E5FAE" w:rsidP="001E5FAE">
      <w:pPr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tabs>
          <w:tab w:val="left" w:pos="3375"/>
        </w:tabs>
        <w:jc w:val="center"/>
        <w:rPr>
          <w:noProof/>
        </w:rPr>
      </w:pPr>
      <w:r w:rsidRPr="004E34CF">
        <w:rPr>
          <w:noProof/>
          <w:lang w:eastAsia="hu-HU"/>
        </w:rPr>
        <w:lastRenderedPageBreak/>
        <w:drawing>
          <wp:inline distT="0" distB="0" distL="0" distR="0" wp14:anchorId="3432D79D" wp14:editId="1D867296">
            <wp:extent cx="6124575" cy="5486400"/>
            <wp:effectExtent l="19050" t="0" r="9525" b="0"/>
            <wp:docPr id="4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tabs>
          <w:tab w:val="left" w:pos="4020"/>
        </w:tabs>
        <w:jc w:val="center"/>
        <w:rPr>
          <w:noProof/>
        </w:rPr>
      </w:pPr>
      <w:r>
        <w:rPr>
          <w:noProof/>
          <w:lang w:eastAsia="hu-HU"/>
        </w:rPr>
        <w:drawing>
          <wp:inline distT="0" distB="0" distL="0" distR="0" wp14:anchorId="49E6A215" wp14:editId="2FE4E54F">
            <wp:extent cx="6362700" cy="5200650"/>
            <wp:effectExtent l="1905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7B3DCDD4" wp14:editId="0D0E3ED2">
            <wp:extent cx="5638800" cy="5610225"/>
            <wp:effectExtent l="19050" t="0" r="19050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rPr>
          <w:noProof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768CBB0E" wp14:editId="0FF0EDD8">
            <wp:simplePos x="0" y="0"/>
            <wp:positionH relativeFrom="column">
              <wp:posOffset>1924050</wp:posOffset>
            </wp:positionH>
            <wp:positionV relativeFrom="paragraph">
              <wp:posOffset>111760</wp:posOffset>
            </wp:positionV>
            <wp:extent cx="6419850" cy="5114925"/>
            <wp:effectExtent l="0" t="0" r="19050" b="9525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lastRenderedPageBreak/>
        <w:br w:type="textWrapping" w:clear="all"/>
      </w:r>
      <w:r>
        <w:rPr>
          <w:noProof/>
          <w:lang w:eastAsia="hu-HU"/>
        </w:rPr>
        <w:drawing>
          <wp:inline distT="0" distB="0" distL="0" distR="0" wp14:anchorId="28E11E35" wp14:editId="5F50AD92">
            <wp:extent cx="6286500" cy="455295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351F9D78" wp14:editId="18E8DFDC">
            <wp:extent cx="5353050" cy="4657725"/>
            <wp:effectExtent l="19050" t="0" r="19050" b="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38E0B78A" wp14:editId="1FEE00F3">
            <wp:extent cx="5334000" cy="5372100"/>
            <wp:effectExtent l="19050" t="0" r="1905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08A73FA0" wp14:editId="13408C55">
            <wp:extent cx="5410200" cy="4819650"/>
            <wp:effectExtent l="19050" t="0" r="19050" b="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5FAE" w:rsidRDefault="001E5FAE" w:rsidP="001E5FAE">
      <w:pPr>
        <w:tabs>
          <w:tab w:val="left" w:pos="7185"/>
        </w:tabs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tabs>
          <w:tab w:val="left" w:pos="7185"/>
        </w:tabs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2E545CFD" wp14:editId="75803404">
            <wp:extent cx="10067925" cy="5895975"/>
            <wp:effectExtent l="0" t="0" r="9525" b="9525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tabs>
          <w:tab w:val="left" w:pos="2100"/>
        </w:tabs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5258830D" wp14:editId="28A85E78">
            <wp:extent cx="9869446" cy="5743575"/>
            <wp:effectExtent l="0" t="0" r="17780" b="9525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5FAE" w:rsidRDefault="001E5FAE" w:rsidP="001E5FAE">
      <w:pPr>
        <w:tabs>
          <w:tab w:val="left" w:pos="3945"/>
        </w:tabs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tabs>
          <w:tab w:val="left" w:pos="3945"/>
        </w:tabs>
        <w:jc w:val="center"/>
        <w:rPr>
          <w:noProof/>
        </w:rPr>
      </w:pPr>
      <w:r>
        <w:rPr>
          <w:noProof/>
          <w:lang w:eastAsia="hu-HU"/>
        </w:rPr>
        <w:drawing>
          <wp:inline distT="0" distB="0" distL="0" distR="0" wp14:anchorId="5E3CE5C7" wp14:editId="6147E85F">
            <wp:extent cx="6505575" cy="4562475"/>
            <wp:effectExtent l="19050" t="0" r="9525" b="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1EAA5FA0" wp14:editId="0923522C">
            <wp:extent cx="5991225" cy="4829175"/>
            <wp:effectExtent l="19050" t="0" r="9525" b="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E5FAE" w:rsidRDefault="001E5FAE" w:rsidP="001E5FAE">
      <w:pPr>
        <w:tabs>
          <w:tab w:val="left" w:pos="5715"/>
        </w:tabs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tabs>
          <w:tab w:val="left" w:pos="5715"/>
        </w:tabs>
        <w:jc w:val="center"/>
        <w:rPr>
          <w:noProof/>
        </w:rPr>
      </w:pPr>
      <w:r>
        <w:rPr>
          <w:noProof/>
          <w:lang w:eastAsia="hu-HU"/>
        </w:rPr>
        <w:lastRenderedPageBreak/>
        <w:drawing>
          <wp:inline distT="0" distB="0" distL="0" distR="0" wp14:anchorId="2B141BAE" wp14:editId="3D76B6CE">
            <wp:extent cx="5591175" cy="4943475"/>
            <wp:effectExtent l="19050" t="0" r="9525" b="0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5FAE" w:rsidRDefault="001E5FAE" w:rsidP="001E5FAE">
      <w:pPr>
        <w:rPr>
          <w:noProof/>
        </w:rPr>
      </w:pPr>
      <w:r>
        <w:rPr>
          <w:noProof/>
        </w:rPr>
        <w:br w:type="page"/>
      </w: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  <w:bookmarkStart w:id="0" w:name="_GoBack"/>
      <w:r>
        <w:rPr>
          <w:noProof/>
          <w:lang w:eastAsia="hu-HU"/>
        </w:rPr>
        <w:drawing>
          <wp:inline distT="0" distB="0" distL="0" distR="0" wp14:anchorId="0E4FD973" wp14:editId="2855D7BC">
            <wp:extent cx="5486400" cy="4181475"/>
            <wp:effectExtent l="0" t="0" r="0" b="9525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End w:id="0"/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</w:p>
    <w:p w:rsidR="001E5FAE" w:rsidRDefault="001E5FAE" w:rsidP="001E5FAE">
      <w:pPr>
        <w:jc w:val="center"/>
        <w:rPr>
          <w:noProof/>
        </w:rPr>
      </w:pPr>
    </w:p>
    <w:p w:rsidR="00BF4DE0" w:rsidRDefault="00BF4DE0">
      <w:pPr>
        <w:rPr>
          <w:noProof/>
        </w:rPr>
      </w:pPr>
    </w:p>
    <w:sectPr w:rsidR="00BF4DE0" w:rsidSect="000F7854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18" w:rsidRDefault="00335A18">
      <w:pPr>
        <w:spacing w:after="0" w:line="240" w:lineRule="auto"/>
      </w:pPr>
      <w:r>
        <w:separator/>
      </w:r>
    </w:p>
  </w:endnote>
  <w:endnote w:type="continuationSeparator" w:id="0">
    <w:p w:rsidR="00335A18" w:rsidRDefault="0033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18" w:rsidRDefault="00335A18">
      <w:pPr>
        <w:spacing w:after="0" w:line="240" w:lineRule="auto"/>
      </w:pPr>
      <w:r>
        <w:separator/>
      </w:r>
    </w:p>
  </w:footnote>
  <w:footnote w:type="continuationSeparator" w:id="0">
    <w:p w:rsidR="00335A18" w:rsidRDefault="0033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17" w:rsidRDefault="00335A18">
    <w:pPr>
      <w:pStyle w:val="lfej"/>
    </w:pPr>
  </w:p>
  <w:p w:rsidR="00632617" w:rsidRDefault="00335A1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AE"/>
    <w:rsid w:val="00003C24"/>
    <w:rsid w:val="00046181"/>
    <w:rsid w:val="000C5FA8"/>
    <w:rsid w:val="000D2C8D"/>
    <w:rsid w:val="00132EA3"/>
    <w:rsid w:val="00175E38"/>
    <w:rsid w:val="001D5A25"/>
    <w:rsid w:val="001E5FAE"/>
    <w:rsid w:val="003137BA"/>
    <w:rsid w:val="00335A18"/>
    <w:rsid w:val="00372C22"/>
    <w:rsid w:val="003A0DBA"/>
    <w:rsid w:val="003C57B9"/>
    <w:rsid w:val="003E05AE"/>
    <w:rsid w:val="003E5CC9"/>
    <w:rsid w:val="004354AB"/>
    <w:rsid w:val="004C5BF0"/>
    <w:rsid w:val="00551E82"/>
    <w:rsid w:val="005A019B"/>
    <w:rsid w:val="00603748"/>
    <w:rsid w:val="00610B54"/>
    <w:rsid w:val="0061349F"/>
    <w:rsid w:val="006214D3"/>
    <w:rsid w:val="00661835"/>
    <w:rsid w:val="006C7056"/>
    <w:rsid w:val="0075460B"/>
    <w:rsid w:val="007A4C2E"/>
    <w:rsid w:val="007E44C1"/>
    <w:rsid w:val="00826542"/>
    <w:rsid w:val="0083053F"/>
    <w:rsid w:val="008B6315"/>
    <w:rsid w:val="008C3077"/>
    <w:rsid w:val="008E5F41"/>
    <w:rsid w:val="00A024F7"/>
    <w:rsid w:val="00A6211A"/>
    <w:rsid w:val="00A85024"/>
    <w:rsid w:val="00A86011"/>
    <w:rsid w:val="00A9726E"/>
    <w:rsid w:val="00B17267"/>
    <w:rsid w:val="00B75B8E"/>
    <w:rsid w:val="00BD37C2"/>
    <w:rsid w:val="00BF2EC6"/>
    <w:rsid w:val="00BF4DE0"/>
    <w:rsid w:val="00C30DEB"/>
    <w:rsid w:val="00CB2619"/>
    <w:rsid w:val="00D04258"/>
    <w:rsid w:val="00D04CFD"/>
    <w:rsid w:val="00D57A84"/>
    <w:rsid w:val="00D67034"/>
    <w:rsid w:val="00DF0721"/>
    <w:rsid w:val="00E309D9"/>
    <w:rsid w:val="00E7165E"/>
    <w:rsid w:val="00ED65D2"/>
    <w:rsid w:val="00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A24D-3859-4D72-A671-EB4ADD1B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FAE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E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5FAE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webSettings" Target="web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Miért választotta a Nyíregyházi Egyetemet?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fel.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Munka1!$B$2:$B$10</c:f>
              <c:numCache>
                <c:formatCode>General</c:formatCode>
                <c:ptCount val="9"/>
                <c:pt idx="0">
                  <c:v>45.23</c:v>
                </c:pt>
                <c:pt idx="1">
                  <c:v>56.92</c:v>
                </c:pt>
                <c:pt idx="2">
                  <c:v>24</c:v>
                </c:pt>
                <c:pt idx="3">
                  <c:v>5.85</c:v>
                </c:pt>
                <c:pt idx="4">
                  <c:v>4.3099999999999996</c:v>
                </c:pt>
                <c:pt idx="5">
                  <c:v>6.46</c:v>
                </c:pt>
                <c:pt idx="6">
                  <c:v>4.92</c:v>
                </c:pt>
                <c:pt idx="7">
                  <c:v>5.85</c:v>
                </c:pt>
                <c:pt idx="8">
                  <c:v>5.85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fel.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Munka1!$C$2:$C$10</c:f>
              <c:numCache>
                <c:formatCode>General</c:formatCode>
                <c:ptCount val="9"/>
                <c:pt idx="0">
                  <c:v>48.14</c:v>
                </c:pt>
                <c:pt idx="1">
                  <c:v>54.84</c:v>
                </c:pt>
                <c:pt idx="2">
                  <c:v>27.3</c:v>
                </c:pt>
                <c:pt idx="3">
                  <c:v>8.19</c:v>
                </c:pt>
                <c:pt idx="4">
                  <c:v>5.71</c:v>
                </c:pt>
                <c:pt idx="5">
                  <c:v>7.69</c:v>
                </c:pt>
                <c:pt idx="6">
                  <c:v>4.47</c:v>
                </c:pt>
                <c:pt idx="7">
                  <c:v>8.93</c:v>
                </c:pt>
                <c:pt idx="8">
                  <c:v>7.69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fel.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Munka1!$D$2:$D$10</c:f>
              <c:numCache>
                <c:formatCode>General</c:formatCode>
                <c:ptCount val="9"/>
                <c:pt idx="0">
                  <c:v>53.07</c:v>
                </c:pt>
                <c:pt idx="1">
                  <c:v>63.73</c:v>
                </c:pt>
                <c:pt idx="2">
                  <c:v>41.19</c:v>
                </c:pt>
                <c:pt idx="3">
                  <c:v>17.21</c:v>
                </c:pt>
                <c:pt idx="4">
                  <c:v>8.81</c:v>
                </c:pt>
                <c:pt idx="5">
                  <c:v>5.74</c:v>
                </c:pt>
                <c:pt idx="6">
                  <c:v>7.99</c:v>
                </c:pt>
                <c:pt idx="7">
                  <c:v>12.7</c:v>
                </c:pt>
                <c:pt idx="8">
                  <c:v>1.64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fel.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Munka1!$E$2:$E$10</c:f>
              <c:numCache>
                <c:formatCode>General</c:formatCode>
                <c:ptCount val="9"/>
                <c:pt idx="0">
                  <c:v>51.62</c:v>
                </c:pt>
                <c:pt idx="1">
                  <c:v>57.03</c:v>
                </c:pt>
                <c:pt idx="2">
                  <c:v>21.64</c:v>
                </c:pt>
                <c:pt idx="3">
                  <c:v>7.73</c:v>
                </c:pt>
                <c:pt idx="4">
                  <c:v>3.09</c:v>
                </c:pt>
                <c:pt idx="5">
                  <c:v>5.56</c:v>
                </c:pt>
                <c:pt idx="6">
                  <c:v>5.0999999999999996</c:v>
                </c:pt>
                <c:pt idx="7">
                  <c:v>6.8</c:v>
                </c:pt>
                <c:pt idx="8">
                  <c:v>100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fel.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Munka1!$F$2:$F$10</c:f>
              <c:numCache>
                <c:formatCode>General</c:formatCode>
                <c:ptCount val="9"/>
                <c:pt idx="0">
                  <c:v>51.37</c:v>
                </c:pt>
                <c:pt idx="1">
                  <c:v>57.45</c:v>
                </c:pt>
                <c:pt idx="2">
                  <c:v>26.44</c:v>
                </c:pt>
                <c:pt idx="3">
                  <c:v>10.029999999999999</c:v>
                </c:pt>
                <c:pt idx="4">
                  <c:v>3.34</c:v>
                </c:pt>
                <c:pt idx="5">
                  <c:v>2.13</c:v>
                </c:pt>
                <c:pt idx="6">
                  <c:v>5.78</c:v>
                </c:pt>
                <c:pt idx="7">
                  <c:v>9.73</c:v>
                </c:pt>
                <c:pt idx="8">
                  <c:v>100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fel.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Munka1!$G$2:$G$10</c:f>
              <c:numCache>
                <c:formatCode>General</c:formatCode>
                <c:ptCount val="9"/>
                <c:pt idx="0">
                  <c:v>46.15</c:v>
                </c:pt>
                <c:pt idx="1">
                  <c:v>56.31</c:v>
                </c:pt>
                <c:pt idx="2">
                  <c:v>22.46</c:v>
                </c:pt>
                <c:pt idx="3">
                  <c:v>6.15</c:v>
                </c:pt>
                <c:pt idx="4">
                  <c:v>2.46</c:v>
                </c:pt>
                <c:pt idx="5">
                  <c:v>6.46</c:v>
                </c:pt>
                <c:pt idx="6">
                  <c:v>4.92</c:v>
                </c:pt>
                <c:pt idx="7">
                  <c:v>6.15</c:v>
                </c:pt>
                <c:pt idx="8">
                  <c:v>100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fel.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Munka1!$H$2:$H$10</c:f>
              <c:numCache>
                <c:formatCode>General</c:formatCode>
                <c:ptCount val="9"/>
                <c:pt idx="0">
                  <c:v>52.94</c:v>
                </c:pt>
                <c:pt idx="1">
                  <c:v>65.03</c:v>
                </c:pt>
                <c:pt idx="2">
                  <c:v>27.12</c:v>
                </c:pt>
                <c:pt idx="3">
                  <c:v>7.52</c:v>
                </c:pt>
                <c:pt idx="4">
                  <c:v>2.61</c:v>
                </c:pt>
                <c:pt idx="5">
                  <c:v>4.21</c:v>
                </c:pt>
                <c:pt idx="6">
                  <c:v>7.84</c:v>
                </c:pt>
                <c:pt idx="7">
                  <c:v>8.17</c:v>
                </c:pt>
                <c:pt idx="8">
                  <c:v>100</c:v>
                </c:pt>
              </c:numCache>
            </c:numRef>
          </c:val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Munka1!$A$2:$A$10</c:f>
              <c:strCache>
                <c:ptCount val="9"/>
                <c:pt idx="0">
                  <c:v>Itt indítottak olyan szakot, amelyen tanulni szeretett volna</c:v>
                </c:pt>
                <c:pt idx="1">
                  <c:v>Közel van a lakóhelyéhez</c:v>
                </c:pt>
                <c:pt idx="2">
                  <c:v>Úgy hallotta, itt megfelelő a képzés színvonala</c:v>
                </c:pt>
                <c:pt idx="3">
                  <c:v>Itt piacképes diplomát lehet szerezni</c:v>
                </c:pt>
                <c:pt idx="4">
                  <c:v>Itt olcsó  képzés</c:v>
                </c:pt>
                <c:pt idx="5">
                  <c:v>Máshová nem vették fel.</c:v>
                </c:pt>
                <c:pt idx="6">
                  <c:v>Szülei indíttatására</c:v>
                </c:pt>
                <c:pt idx="7">
                  <c:v>A jó hallgatói élet miatt</c:v>
                </c:pt>
                <c:pt idx="8">
                  <c:v>Egyéb okból</c:v>
                </c:pt>
              </c:strCache>
            </c:strRef>
          </c:cat>
          <c:val>
            <c:numRef>
              <c:f>Munka1!$I$2:$I$10</c:f>
              <c:numCache>
                <c:formatCode>General</c:formatCode>
                <c:ptCount val="9"/>
                <c:pt idx="0">
                  <c:v>47.1</c:v>
                </c:pt>
                <c:pt idx="1">
                  <c:v>63.48</c:v>
                </c:pt>
                <c:pt idx="2">
                  <c:v>26.2</c:v>
                </c:pt>
                <c:pt idx="3">
                  <c:v>8.31</c:v>
                </c:pt>
                <c:pt idx="4">
                  <c:v>3.27</c:v>
                </c:pt>
                <c:pt idx="5">
                  <c:v>3.27</c:v>
                </c:pt>
                <c:pt idx="6">
                  <c:v>8.31</c:v>
                </c:pt>
                <c:pt idx="7">
                  <c:v>6.8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473920"/>
        <c:axId val="509933072"/>
      </c:barChart>
      <c:catAx>
        <c:axId val="393473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9933072"/>
        <c:crosses val="autoZero"/>
        <c:auto val="1"/>
        <c:lblAlgn val="ctr"/>
        <c:lblOffset val="100"/>
        <c:noMultiLvlLbl val="0"/>
      </c:catAx>
      <c:valAx>
        <c:axId val="509933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3473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campus területén működő egészségügyi ellátás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10.46</c:v>
                </c:pt>
                <c:pt idx="1">
                  <c:v>12</c:v>
                </c:pt>
                <c:pt idx="2">
                  <c:v>3.38</c:v>
                </c:pt>
                <c:pt idx="3">
                  <c:v>54.15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  <c:pt idx="0">
                  <c:v>14.83</c:v>
                </c:pt>
                <c:pt idx="1">
                  <c:v>17.670000000000002</c:v>
                </c:pt>
                <c:pt idx="2">
                  <c:v>4.42</c:v>
                </c:pt>
                <c:pt idx="3">
                  <c:v>63.09</c:v>
                </c:pt>
                <c:pt idx="4">
                  <c:v>27.13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  <c:pt idx="0">
                  <c:v>6.35</c:v>
                </c:pt>
                <c:pt idx="1">
                  <c:v>6.76</c:v>
                </c:pt>
                <c:pt idx="2">
                  <c:v>1.84</c:v>
                </c:pt>
                <c:pt idx="3">
                  <c:v>64.14</c:v>
                </c:pt>
                <c:pt idx="4">
                  <c:v>20.9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Munka1!$E$2:$E$6</c:f>
              <c:numCache>
                <c:formatCode>General</c:formatCode>
                <c:ptCount val="5"/>
                <c:pt idx="0">
                  <c:v>12.98</c:v>
                </c:pt>
                <c:pt idx="1">
                  <c:v>11.9</c:v>
                </c:pt>
                <c:pt idx="2">
                  <c:v>5.87</c:v>
                </c:pt>
                <c:pt idx="3">
                  <c:v>67.7</c:v>
                </c:pt>
                <c:pt idx="4">
                  <c:v>1.55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Munka1!$F$2:$F$6</c:f>
              <c:numCache>
                <c:formatCode>General</c:formatCode>
                <c:ptCount val="5"/>
                <c:pt idx="0">
                  <c:v>17.02</c:v>
                </c:pt>
                <c:pt idx="1">
                  <c:v>12.77</c:v>
                </c:pt>
                <c:pt idx="2">
                  <c:v>4.5599999999999996</c:v>
                </c:pt>
                <c:pt idx="3">
                  <c:v>65.349999999999994</c:v>
                </c:pt>
                <c:pt idx="4">
                  <c:v>0.3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Munka1!$G$2:$G$6</c:f>
              <c:numCache>
                <c:formatCode>General</c:formatCode>
                <c:ptCount val="5"/>
                <c:pt idx="0">
                  <c:v>9.23</c:v>
                </c:pt>
                <c:pt idx="1">
                  <c:v>14.77</c:v>
                </c:pt>
                <c:pt idx="2">
                  <c:v>6.46</c:v>
                </c:pt>
                <c:pt idx="3">
                  <c:v>68.31</c:v>
                </c:pt>
                <c:pt idx="4">
                  <c:v>1.23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Munka1!$H$2:$H$6</c:f>
              <c:numCache>
                <c:formatCode>General</c:formatCode>
                <c:ptCount val="5"/>
                <c:pt idx="0">
                  <c:v>15.03</c:v>
                </c:pt>
                <c:pt idx="1">
                  <c:v>8.82</c:v>
                </c:pt>
                <c:pt idx="2">
                  <c:v>7.19</c:v>
                </c:pt>
                <c:pt idx="3">
                  <c:v>67.319999999999993</c:v>
                </c:pt>
                <c:pt idx="4">
                  <c:v>1.63</c:v>
                </c:pt>
              </c:numCache>
            </c:numRef>
          </c:val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  <c:pt idx="3">
                  <c:v>Nem veszi igénybe</c:v>
                </c:pt>
                <c:pt idx="4">
                  <c:v>Nem válaszolt</c:v>
                </c:pt>
              </c:strCache>
            </c:strRef>
          </c:cat>
          <c:val>
            <c:numRef>
              <c:f>Munka1!$I$2:$I$6</c:f>
              <c:numCache>
                <c:formatCode>General</c:formatCode>
                <c:ptCount val="5"/>
                <c:pt idx="0">
                  <c:v>12.85</c:v>
                </c:pt>
                <c:pt idx="1">
                  <c:v>9.57</c:v>
                </c:pt>
                <c:pt idx="2">
                  <c:v>7.3</c:v>
                </c:pt>
                <c:pt idx="3">
                  <c:v>68.77</c:v>
                </c:pt>
                <c:pt idx="4">
                  <c:v>1.51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222096"/>
        <c:axId val="509222488"/>
      </c:barChart>
      <c:catAx>
        <c:axId val="509222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9222488"/>
        <c:crosses val="autoZero"/>
        <c:auto val="1"/>
        <c:lblAlgn val="ctr"/>
        <c:lblOffset val="100"/>
        <c:noMultiLvlLbl val="0"/>
      </c:catAx>
      <c:valAx>
        <c:axId val="509222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509222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Az</a:t>
            </a:r>
            <a:r>
              <a:rPr lang="hu-HU" sz="1400" baseline="0"/>
              <a:t> egyetem </a:t>
            </a:r>
            <a:r>
              <a:rPr lang="hu-HU" sz="1400"/>
              <a:t>területén működő szolgáltatások (2017-2018)</a:t>
            </a:r>
          </a:p>
          <a:p>
            <a:pPr>
              <a:defRPr sz="1400"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nem veszi igénybe</c:v>
                </c:pt>
              </c:strCache>
            </c:strRef>
          </c:tx>
          <c:invertIfNegative val="0"/>
          <c:cat>
            <c:strRef>
              <c:f>Munka1!$B$1:$S$1</c:f>
              <c:strCache>
                <c:ptCount val="18"/>
                <c:pt idx="0">
                  <c:v>Menza 2017</c:v>
                </c:pt>
                <c:pt idx="1">
                  <c:v>Menza 2018</c:v>
                </c:pt>
                <c:pt idx="2">
                  <c:v>Büfé 2017</c:v>
                </c:pt>
                <c:pt idx="3">
                  <c:v>Büfé 2018</c:v>
                </c:pt>
                <c:pt idx="4">
                  <c:v>Étterem 2017</c:v>
                </c:pt>
                <c:pt idx="5">
                  <c:v>Étterem 2018</c:v>
                </c:pt>
                <c:pt idx="6">
                  <c:v>Posta 2017</c:v>
                </c:pt>
                <c:pt idx="7">
                  <c:v>Posta 2018</c:v>
                </c:pt>
                <c:pt idx="8">
                  <c:v>Bank 2017</c:v>
                </c:pt>
                <c:pt idx="9">
                  <c:v>Bank 2018</c:v>
                </c:pt>
                <c:pt idx="10">
                  <c:v>Boltok 2017</c:v>
                </c:pt>
                <c:pt idx="11">
                  <c:v>Boltok 2018</c:v>
                </c:pt>
                <c:pt idx="12">
                  <c:v>Jegyiroda 2017</c:v>
                </c:pt>
                <c:pt idx="13">
                  <c:v>Jegyiroda 2018</c:v>
                </c:pt>
                <c:pt idx="14">
                  <c:v>Írószerüzlet 2017</c:v>
                </c:pt>
                <c:pt idx="15">
                  <c:v>Írószerüzlet 2018</c:v>
                </c:pt>
                <c:pt idx="16">
                  <c:v>Szórakozóhelyek 2017</c:v>
                </c:pt>
                <c:pt idx="17">
                  <c:v>Szórakozóhelyek 2018</c:v>
                </c:pt>
              </c:strCache>
            </c:strRef>
          </c:cat>
          <c:val>
            <c:numRef>
              <c:f>Munka1!$B$2:$S$2</c:f>
              <c:numCache>
                <c:formatCode>General</c:formatCode>
                <c:ptCount val="18"/>
                <c:pt idx="0">
                  <c:v>45.32</c:v>
                </c:pt>
                <c:pt idx="1">
                  <c:v>38.54</c:v>
                </c:pt>
                <c:pt idx="2">
                  <c:v>9.6300000000000008</c:v>
                </c:pt>
                <c:pt idx="3">
                  <c:v>14.72</c:v>
                </c:pt>
                <c:pt idx="4">
                  <c:v>42.06</c:v>
                </c:pt>
                <c:pt idx="5">
                  <c:v>40.409999999999997</c:v>
                </c:pt>
                <c:pt idx="6">
                  <c:v>28.81</c:v>
                </c:pt>
                <c:pt idx="7">
                  <c:v>34.200000000000003</c:v>
                </c:pt>
                <c:pt idx="8">
                  <c:v>28.22</c:v>
                </c:pt>
                <c:pt idx="9">
                  <c:v>34.020000000000003</c:v>
                </c:pt>
                <c:pt idx="10">
                  <c:v>14.67</c:v>
                </c:pt>
                <c:pt idx="11">
                  <c:v>13.76</c:v>
                </c:pt>
                <c:pt idx="12">
                  <c:v>49.64</c:v>
                </c:pt>
                <c:pt idx="13">
                  <c:v>48.27</c:v>
                </c:pt>
                <c:pt idx="14">
                  <c:v>38.19</c:v>
                </c:pt>
                <c:pt idx="15">
                  <c:v>40.630000000000003</c:v>
                </c:pt>
                <c:pt idx="16">
                  <c:v>34.72</c:v>
                </c:pt>
                <c:pt idx="17">
                  <c:v>41.66</c:v>
                </c:pt>
              </c:numCache>
            </c:numRef>
          </c:val>
        </c:ser>
        <c:ser>
          <c:idx val="1"/>
          <c:order val="1"/>
          <c:tx>
            <c:strRef>
              <c:f>Munka1!$A$3</c:f>
              <c:strCache>
                <c:ptCount val="1"/>
                <c:pt idx="0">
                  <c:v>a szolgáltatások köre bővítésre szorul</c:v>
                </c:pt>
              </c:strCache>
            </c:strRef>
          </c:tx>
          <c:invertIfNegative val="0"/>
          <c:cat>
            <c:strRef>
              <c:f>Munka1!$B$1:$S$1</c:f>
              <c:strCache>
                <c:ptCount val="18"/>
                <c:pt idx="0">
                  <c:v>Menza 2017</c:v>
                </c:pt>
                <c:pt idx="1">
                  <c:v>Menza 2018</c:v>
                </c:pt>
                <c:pt idx="2">
                  <c:v>Büfé 2017</c:v>
                </c:pt>
                <c:pt idx="3">
                  <c:v>Büfé 2018</c:v>
                </c:pt>
                <c:pt idx="4">
                  <c:v>Étterem 2017</c:v>
                </c:pt>
                <c:pt idx="5">
                  <c:v>Étterem 2018</c:v>
                </c:pt>
                <c:pt idx="6">
                  <c:v>Posta 2017</c:v>
                </c:pt>
                <c:pt idx="7">
                  <c:v>Posta 2018</c:v>
                </c:pt>
                <c:pt idx="8">
                  <c:v>Bank 2017</c:v>
                </c:pt>
                <c:pt idx="9">
                  <c:v>Bank 2018</c:v>
                </c:pt>
                <c:pt idx="10">
                  <c:v>Boltok 2017</c:v>
                </c:pt>
                <c:pt idx="11">
                  <c:v>Boltok 2018</c:v>
                </c:pt>
                <c:pt idx="12">
                  <c:v>Jegyiroda 2017</c:v>
                </c:pt>
                <c:pt idx="13">
                  <c:v>Jegyiroda 2018</c:v>
                </c:pt>
                <c:pt idx="14">
                  <c:v>Írószerüzlet 2017</c:v>
                </c:pt>
                <c:pt idx="15">
                  <c:v>Írószerüzlet 2018</c:v>
                </c:pt>
                <c:pt idx="16">
                  <c:v>Szórakozóhelyek 2017</c:v>
                </c:pt>
                <c:pt idx="17">
                  <c:v>Szórakozóhelyek 2018</c:v>
                </c:pt>
              </c:strCache>
            </c:strRef>
          </c:cat>
          <c:val>
            <c:numRef>
              <c:f>Munka1!$B$3:$S$3</c:f>
              <c:numCache>
                <c:formatCode>General</c:formatCode>
                <c:ptCount val="18"/>
                <c:pt idx="0">
                  <c:v>7.61</c:v>
                </c:pt>
                <c:pt idx="1">
                  <c:v>6.25</c:v>
                </c:pt>
                <c:pt idx="2">
                  <c:v>10.63</c:v>
                </c:pt>
                <c:pt idx="3">
                  <c:v>17.309999999999999</c:v>
                </c:pt>
                <c:pt idx="4">
                  <c:v>7.58</c:v>
                </c:pt>
                <c:pt idx="5">
                  <c:v>6.82</c:v>
                </c:pt>
                <c:pt idx="6">
                  <c:v>4.16</c:v>
                </c:pt>
                <c:pt idx="7">
                  <c:v>3.13</c:v>
                </c:pt>
                <c:pt idx="8">
                  <c:v>3.13</c:v>
                </c:pt>
                <c:pt idx="9">
                  <c:v>3.37</c:v>
                </c:pt>
                <c:pt idx="10">
                  <c:v>3.75</c:v>
                </c:pt>
                <c:pt idx="11">
                  <c:v>6.49</c:v>
                </c:pt>
                <c:pt idx="12">
                  <c:v>7.04</c:v>
                </c:pt>
                <c:pt idx="13">
                  <c:v>5.57</c:v>
                </c:pt>
                <c:pt idx="14">
                  <c:v>10.06</c:v>
                </c:pt>
                <c:pt idx="15">
                  <c:v>10.29</c:v>
                </c:pt>
                <c:pt idx="16">
                  <c:v>10.06</c:v>
                </c:pt>
                <c:pt idx="17">
                  <c:v>11.19</c:v>
                </c:pt>
              </c:numCache>
            </c:numRef>
          </c:val>
        </c:ser>
        <c:ser>
          <c:idx val="2"/>
          <c:order val="2"/>
          <c:tx>
            <c:strRef>
              <c:f>Munka1!$A$4</c:f>
              <c:strCache>
                <c:ptCount val="1"/>
                <c:pt idx="0">
                  <c:v>a szolgáltatás színvonala javításra szorul</c:v>
                </c:pt>
              </c:strCache>
            </c:strRef>
          </c:tx>
          <c:invertIfNegative val="0"/>
          <c:cat>
            <c:strRef>
              <c:f>Munka1!$B$1:$S$1</c:f>
              <c:strCache>
                <c:ptCount val="18"/>
                <c:pt idx="0">
                  <c:v>Menza 2017</c:v>
                </c:pt>
                <c:pt idx="1">
                  <c:v>Menza 2018</c:v>
                </c:pt>
                <c:pt idx="2">
                  <c:v>Büfé 2017</c:v>
                </c:pt>
                <c:pt idx="3">
                  <c:v>Büfé 2018</c:v>
                </c:pt>
                <c:pt idx="4">
                  <c:v>Étterem 2017</c:v>
                </c:pt>
                <c:pt idx="5">
                  <c:v>Étterem 2018</c:v>
                </c:pt>
                <c:pt idx="6">
                  <c:v>Posta 2017</c:v>
                </c:pt>
                <c:pt idx="7">
                  <c:v>Posta 2018</c:v>
                </c:pt>
                <c:pt idx="8">
                  <c:v>Bank 2017</c:v>
                </c:pt>
                <c:pt idx="9">
                  <c:v>Bank 2018</c:v>
                </c:pt>
                <c:pt idx="10">
                  <c:v>Boltok 2017</c:v>
                </c:pt>
                <c:pt idx="11">
                  <c:v>Boltok 2018</c:v>
                </c:pt>
                <c:pt idx="12">
                  <c:v>Jegyiroda 2017</c:v>
                </c:pt>
                <c:pt idx="13">
                  <c:v>Jegyiroda 2018</c:v>
                </c:pt>
                <c:pt idx="14">
                  <c:v>Írószerüzlet 2017</c:v>
                </c:pt>
                <c:pt idx="15">
                  <c:v>Írószerüzlet 2018</c:v>
                </c:pt>
                <c:pt idx="16">
                  <c:v>Szórakozóhelyek 2017</c:v>
                </c:pt>
                <c:pt idx="17">
                  <c:v>Szórakozóhelyek 2018</c:v>
                </c:pt>
              </c:strCache>
            </c:strRef>
          </c:cat>
          <c:val>
            <c:numRef>
              <c:f>Munka1!$B$4:$S$4</c:f>
              <c:numCache>
                <c:formatCode>General</c:formatCode>
                <c:ptCount val="18"/>
                <c:pt idx="0">
                  <c:v>14.18</c:v>
                </c:pt>
                <c:pt idx="1">
                  <c:v>18.22</c:v>
                </c:pt>
                <c:pt idx="2">
                  <c:v>22.92</c:v>
                </c:pt>
                <c:pt idx="3">
                  <c:v>20.41</c:v>
                </c:pt>
                <c:pt idx="4">
                  <c:v>13.1</c:v>
                </c:pt>
                <c:pt idx="5">
                  <c:v>16.010000000000002</c:v>
                </c:pt>
                <c:pt idx="6">
                  <c:v>12.84</c:v>
                </c:pt>
                <c:pt idx="7">
                  <c:v>9.66</c:v>
                </c:pt>
                <c:pt idx="8">
                  <c:v>9.4</c:v>
                </c:pt>
                <c:pt idx="9">
                  <c:v>10.9</c:v>
                </c:pt>
                <c:pt idx="10">
                  <c:v>15.35</c:v>
                </c:pt>
                <c:pt idx="11">
                  <c:v>17.920000000000002</c:v>
                </c:pt>
                <c:pt idx="12">
                  <c:v>12.32</c:v>
                </c:pt>
                <c:pt idx="13">
                  <c:v>16.440000000000001</c:v>
                </c:pt>
                <c:pt idx="14">
                  <c:v>13.54</c:v>
                </c:pt>
                <c:pt idx="15">
                  <c:v>13.98</c:v>
                </c:pt>
                <c:pt idx="16">
                  <c:v>18.399999999999999</c:v>
                </c:pt>
                <c:pt idx="17">
                  <c:v>20.57</c:v>
                </c:pt>
              </c:numCache>
            </c:numRef>
          </c:val>
        </c:ser>
        <c:ser>
          <c:idx val="3"/>
          <c:order val="3"/>
          <c:tx>
            <c:strRef>
              <c:f>Munka1!$A$5</c:f>
              <c:strCache>
                <c:ptCount val="1"/>
                <c:pt idx="0">
                  <c:v>megfelelő a szolgáltatás színvonala és elérhető</c:v>
                </c:pt>
              </c:strCache>
            </c:strRef>
          </c:tx>
          <c:invertIfNegative val="0"/>
          <c:cat>
            <c:strRef>
              <c:f>Munka1!$B$1:$S$1</c:f>
              <c:strCache>
                <c:ptCount val="18"/>
                <c:pt idx="0">
                  <c:v>Menza 2017</c:v>
                </c:pt>
                <c:pt idx="1">
                  <c:v>Menza 2018</c:v>
                </c:pt>
                <c:pt idx="2">
                  <c:v>Büfé 2017</c:v>
                </c:pt>
                <c:pt idx="3">
                  <c:v>Büfé 2018</c:v>
                </c:pt>
                <c:pt idx="4">
                  <c:v>Étterem 2017</c:v>
                </c:pt>
                <c:pt idx="5">
                  <c:v>Étterem 2018</c:v>
                </c:pt>
                <c:pt idx="6">
                  <c:v>Posta 2017</c:v>
                </c:pt>
                <c:pt idx="7">
                  <c:v>Posta 2018</c:v>
                </c:pt>
                <c:pt idx="8">
                  <c:v>Bank 2017</c:v>
                </c:pt>
                <c:pt idx="9">
                  <c:v>Bank 2018</c:v>
                </c:pt>
                <c:pt idx="10">
                  <c:v>Boltok 2017</c:v>
                </c:pt>
                <c:pt idx="11">
                  <c:v>Boltok 2018</c:v>
                </c:pt>
                <c:pt idx="12">
                  <c:v>Jegyiroda 2017</c:v>
                </c:pt>
                <c:pt idx="13">
                  <c:v>Jegyiroda 2018</c:v>
                </c:pt>
                <c:pt idx="14">
                  <c:v>Írószerüzlet 2017</c:v>
                </c:pt>
                <c:pt idx="15">
                  <c:v>Írószerüzlet 2018</c:v>
                </c:pt>
                <c:pt idx="16">
                  <c:v>Szórakozóhelyek 2017</c:v>
                </c:pt>
                <c:pt idx="17">
                  <c:v>Szórakozóhelyek 2018</c:v>
                </c:pt>
              </c:strCache>
            </c:strRef>
          </c:cat>
          <c:val>
            <c:numRef>
              <c:f>Munka1!$B$5:$S$5</c:f>
              <c:numCache>
                <c:formatCode>General</c:formatCode>
                <c:ptCount val="18"/>
                <c:pt idx="0">
                  <c:v>21.45</c:v>
                </c:pt>
                <c:pt idx="1">
                  <c:v>21.35</c:v>
                </c:pt>
                <c:pt idx="2">
                  <c:v>37.869999999999997</c:v>
                </c:pt>
                <c:pt idx="3">
                  <c:v>29.19</c:v>
                </c:pt>
                <c:pt idx="4">
                  <c:v>24.13</c:v>
                </c:pt>
                <c:pt idx="5">
                  <c:v>23.88</c:v>
                </c:pt>
                <c:pt idx="6">
                  <c:v>23.26</c:v>
                </c:pt>
                <c:pt idx="7">
                  <c:v>27.15</c:v>
                </c:pt>
                <c:pt idx="8">
                  <c:v>25.08</c:v>
                </c:pt>
                <c:pt idx="9">
                  <c:v>26.49</c:v>
                </c:pt>
                <c:pt idx="10">
                  <c:v>39.590000000000003</c:v>
                </c:pt>
                <c:pt idx="11">
                  <c:v>37.14</c:v>
                </c:pt>
                <c:pt idx="12">
                  <c:v>19.71</c:v>
                </c:pt>
                <c:pt idx="13">
                  <c:v>17.77</c:v>
                </c:pt>
                <c:pt idx="14">
                  <c:v>26.04</c:v>
                </c:pt>
                <c:pt idx="15">
                  <c:v>21.63</c:v>
                </c:pt>
                <c:pt idx="16">
                  <c:v>17.7</c:v>
                </c:pt>
                <c:pt idx="17">
                  <c:v>14.84</c:v>
                </c:pt>
              </c:numCache>
            </c:numRef>
          </c:val>
        </c:ser>
        <c:ser>
          <c:idx val="4"/>
          <c:order val="4"/>
          <c:tx>
            <c:strRef>
              <c:f>Munka1!$A$6</c:f>
              <c:strCache>
                <c:ptCount val="1"/>
                <c:pt idx="0">
                  <c:v>kiváló minőségű</c:v>
                </c:pt>
              </c:strCache>
            </c:strRef>
          </c:tx>
          <c:invertIfNegative val="0"/>
          <c:cat>
            <c:strRef>
              <c:f>Munka1!$B$1:$S$1</c:f>
              <c:strCache>
                <c:ptCount val="18"/>
                <c:pt idx="0">
                  <c:v>Menza 2017</c:v>
                </c:pt>
                <c:pt idx="1">
                  <c:v>Menza 2018</c:v>
                </c:pt>
                <c:pt idx="2">
                  <c:v>Büfé 2017</c:v>
                </c:pt>
                <c:pt idx="3">
                  <c:v>Büfé 2018</c:v>
                </c:pt>
                <c:pt idx="4">
                  <c:v>Étterem 2017</c:v>
                </c:pt>
                <c:pt idx="5">
                  <c:v>Étterem 2018</c:v>
                </c:pt>
                <c:pt idx="6">
                  <c:v>Posta 2017</c:v>
                </c:pt>
                <c:pt idx="7">
                  <c:v>Posta 2018</c:v>
                </c:pt>
                <c:pt idx="8">
                  <c:v>Bank 2017</c:v>
                </c:pt>
                <c:pt idx="9">
                  <c:v>Bank 2018</c:v>
                </c:pt>
                <c:pt idx="10">
                  <c:v>Boltok 2017</c:v>
                </c:pt>
                <c:pt idx="11">
                  <c:v>Boltok 2018</c:v>
                </c:pt>
                <c:pt idx="12">
                  <c:v>Jegyiroda 2017</c:v>
                </c:pt>
                <c:pt idx="13">
                  <c:v>Jegyiroda 2018</c:v>
                </c:pt>
                <c:pt idx="14">
                  <c:v>Írószerüzlet 2017</c:v>
                </c:pt>
                <c:pt idx="15">
                  <c:v>Írószerüzlet 2018</c:v>
                </c:pt>
                <c:pt idx="16">
                  <c:v>Szórakozóhelyek 2017</c:v>
                </c:pt>
                <c:pt idx="17">
                  <c:v>Szórakozóhelyek 2018</c:v>
                </c:pt>
              </c:strCache>
            </c:strRef>
          </c:cat>
          <c:val>
            <c:numRef>
              <c:f>Munka1!$B$6:$S$6</c:f>
              <c:numCache>
                <c:formatCode>General</c:formatCode>
                <c:ptCount val="18"/>
                <c:pt idx="0">
                  <c:v>11.41</c:v>
                </c:pt>
                <c:pt idx="1">
                  <c:v>15.62</c:v>
                </c:pt>
                <c:pt idx="2">
                  <c:v>18.93</c:v>
                </c:pt>
                <c:pt idx="3">
                  <c:v>18.34</c:v>
                </c:pt>
                <c:pt idx="4">
                  <c:v>13.1</c:v>
                </c:pt>
                <c:pt idx="5">
                  <c:v>12.86</c:v>
                </c:pt>
                <c:pt idx="6">
                  <c:v>30.9</c:v>
                </c:pt>
                <c:pt idx="7">
                  <c:v>25.84</c:v>
                </c:pt>
                <c:pt idx="8">
                  <c:v>34.14</c:v>
                </c:pt>
                <c:pt idx="9">
                  <c:v>25.19</c:v>
                </c:pt>
                <c:pt idx="10">
                  <c:v>26.62</c:v>
                </c:pt>
                <c:pt idx="11">
                  <c:v>24.67</c:v>
                </c:pt>
                <c:pt idx="12">
                  <c:v>11.26</c:v>
                </c:pt>
                <c:pt idx="13">
                  <c:v>11.93</c:v>
                </c:pt>
                <c:pt idx="14">
                  <c:v>12.15</c:v>
                </c:pt>
                <c:pt idx="15">
                  <c:v>12.66</c:v>
                </c:pt>
                <c:pt idx="16">
                  <c:v>19.09</c:v>
                </c:pt>
                <c:pt idx="17">
                  <c:v>11.71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9927528"/>
        <c:axId val="509927920"/>
      </c:barChart>
      <c:catAx>
        <c:axId val="509927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09927920"/>
        <c:crosses val="autoZero"/>
        <c:auto val="0"/>
        <c:lblAlgn val="ctr"/>
        <c:lblOffset val="100"/>
        <c:noMultiLvlLbl val="0"/>
      </c:catAx>
      <c:valAx>
        <c:axId val="50992792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509927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Sportolási lehetőségek (2017-2018)</a:t>
            </a:r>
          </a:p>
          <a:p>
            <a:pPr>
              <a:defRPr sz="1400"/>
            </a:pPr>
            <a:r>
              <a:rPr lang="hu-HU" sz="1400"/>
              <a:t>[%]</a:t>
            </a:r>
          </a:p>
        </c:rich>
      </c:tx>
      <c:layout>
        <c:manualLayout>
          <c:xMode val="edge"/>
          <c:yMode val="edge"/>
          <c:x val="0.39112037954875806"/>
          <c:y val="2.2556390977443611E-2"/>
        </c:manualLayout>
      </c:layout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nem veszi igénybe</c:v>
                </c:pt>
              </c:strCache>
            </c:strRef>
          </c:tx>
          <c:invertIfNegative val="0"/>
          <c:cat>
            <c:strRef>
              <c:f>Munka1!$B$1:$Q$1</c:f>
              <c:strCache>
                <c:ptCount val="16"/>
                <c:pt idx="0">
                  <c:v>Uszoda 2017</c:v>
                </c:pt>
                <c:pt idx="1">
                  <c:v>Uszoda 2018</c:v>
                </c:pt>
                <c:pt idx="2">
                  <c:v>Teniszpálya 2017</c:v>
                </c:pt>
                <c:pt idx="3">
                  <c:v>Teniszpálya 2018</c:v>
                </c:pt>
                <c:pt idx="4">
                  <c:v>Kézilabdapálya 2017</c:v>
                </c:pt>
                <c:pt idx="5">
                  <c:v>Kézilabdapálya 2018</c:v>
                </c:pt>
                <c:pt idx="6">
                  <c:v>Kosárlabdapálya 2017</c:v>
                </c:pt>
                <c:pt idx="7">
                  <c:v>Kosárlabdapálya 2018</c:v>
                </c:pt>
                <c:pt idx="8">
                  <c:v>Labdarúgópálya 2017</c:v>
                </c:pt>
                <c:pt idx="9">
                  <c:v>Labdarúgópálya 2018</c:v>
                </c:pt>
                <c:pt idx="10">
                  <c:v>Atlétikai csarnok 2017</c:v>
                </c:pt>
                <c:pt idx="11">
                  <c:v>Atlétikai csarnok 2018</c:v>
                </c:pt>
                <c:pt idx="12">
                  <c:v>Konditerem 2017</c:v>
                </c:pt>
                <c:pt idx="13">
                  <c:v>Konditerem 2018</c:v>
                </c:pt>
                <c:pt idx="14">
                  <c:v>Lovarda 2017</c:v>
                </c:pt>
                <c:pt idx="15">
                  <c:v>Lovarda 2018</c:v>
                </c:pt>
              </c:strCache>
            </c:strRef>
          </c:cat>
          <c:val>
            <c:numRef>
              <c:f>Munka1!$B$2:$Q$2</c:f>
              <c:numCache>
                <c:formatCode>General</c:formatCode>
                <c:ptCount val="16"/>
                <c:pt idx="0">
                  <c:v>50.35</c:v>
                </c:pt>
                <c:pt idx="1">
                  <c:v>52.11</c:v>
                </c:pt>
                <c:pt idx="2">
                  <c:v>56.84</c:v>
                </c:pt>
                <c:pt idx="3">
                  <c:v>59.58</c:v>
                </c:pt>
                <c:pt idx="4">
                  <c:v>59.15</c:v>
                </c:pt>
                <c:pt idx="5">
                  <c:v>63.24</c:v>
                </c:pt>
                <c:pt idx="6">
                  <c:v>57.04</c:v>
                </c:pt>
                <c:pt idx="7">
                  <c:v>58.24</c:v>
                </c:pt>
                <c:pt idx="8">
                  <c:v>58.24</c:v>
                </c:pt>
                <c:pt idx="9">
                  <c:v>61.96</c:v>
                </c:pt>
                <c:pt idx="10">
                  <c:v>48.77</c:v>
                </c:pt>
                <c:pt idx="11">
                  <c:v>46.13</c:v>
                </c:pt>
                <c:pt idx="12">
                  <c:v>56.49</c:v>
                </c:pt>
                <c:pt idx="13">
                  <c:v>55.88</c:v>
                </c:pt>
                <c:pt idx="14">
                  <c:v>61.59</c:v>
                </c:pt>
                <c:pt idx="15">
                  <c:v>70.61</c:v>
                </c:pt>
              </c:numCache>
            </c:numRef>
          </c:val>
        </c:ser>
        <c:ser>
          <c:idx val="1"/>
          <c:order val="1"/>
          <c:tx>
            <c:strRef>
              <c:f>Munka1!$A$3</c:f>
              <c:strCache>
                <c:ptCount val="1"/>
                <c:pt idx="0">
                  <c:v>a szolgáltatás javításra szorul</c:v>
                </c:pt>
              </c:strCache>
            </c:strRef>
          </c:tx>
          <c:invertIfNegative val="0"/>
          <c:cat>
            <c:strRef>
              <c:f>Munka1!$B$1:$Q$1</c:f>
              <c:strCache>
                <c:ptCount val="16"/>
                <c:pt idx="0">
                  <c:v>Uszoda 2017</c:v>
                </c:pt>
                <c:pt idx="1">
                  <c:v>Uszoda 2018</c:v>
                </c:pt>
                <c:pt idx="2">
                  <c:v>Teniszpálya 2017</c:v>
                </c:pt>
                <c:pt idx="3">
                  <c:v>Teniszpálya 2018</c:v>
                </c:pt>
                <c:pt idx="4">
                  <c:v>Kézilabdapálya 2017</c:v>
                </c:pt>
                <c:pt idx="5">
                  <c:v>Kézilabdapálya 2018</c:v>
                </c:pt>
                <c:pt idx="6">
                  <c:v>Kosárlabdapálya 2017</c:v>
                </c:pt>
                <c:pt idx="7">
                  <c:v>Kosárlabdapálya 2018</c:v>
                </c:pt>
                <c:pt idx="8">
                  <c:v>Labdarúgópálya 2017</c:v>
                </c:pt>
                <c:pt idx="9">
                  <c:v>Labdarúgópálya 2018</c:v>
                </c:pt>
                <c:pt idx="10">
                  <c:v>Atlétikai csarnok 2017</c:v>
                </c:pt>
                <c:pt idx="11">
                  <c:v>Atlétikai csarnok 2018</c:v>
                </c:pt>
                <c:pt idx="12">
                  <c:v>Konditerem 2017</c:v>
                </c:pt>
                <c:pt idx="13">
                  <c:v>Konditerem 2018</c:v>
                </c:pt>
                <c:pt idx="14">
                  <c:v>Lovarda 2017</c:v>
                </c:pt>
                <c:pt idx="15">
                  <c:v>Lovarda 2018</c:v>
                </c:pt>
              </c:strCache>
            </c:strRef>
          </c:cat>
          <c:val>
            <c:numRef>
              <c:f>Munka1!$B$3:$Q$3</c:f>
              <c:numCache>
                <c:formatCode>General</c:formatCode>
                <c:ptCount val="16"/>
                <c:pt idx="0">
                  <c:v>10.56</c:v>
                </c:pt>
                <c:pt idx="1">
                  <c:v>8.4600000000000009</c:v>
                </c:pt>
                <c:pt idx="2">
                  <c:v>10.17</c:v>
                </c:pt>
                <c:pt idx="3">
                  <c:v>4.92</c:v>
                </c:pt>
                <c:pt idx="4">
                  <c:v>9.85</c:v>
                </c:pt>
                <c:pt idx="5">
                  <c:v>6.75</c:v>
                </c:pt>
                <c:pt idx="6">
                  <c:v>11.26</c:v>
                </c:pt>
                <c:pt idx="7">
                  <c:v>8.24</c:v>
                </c:pt>
                <c:pt idx="8">
                  <c:v>12.98</c:v>
                </c:pt>
                <c:pt idx="9">
                  <c:v>7.18</c:v>
                </c:pt>
                <c:pt idx="10">
                  <c:v>12.98</c:v>
                </c:pt>
                <c:pt idx="11">
                  <c:v>8.8000000000000007</c:v>
                </c:pt>
                <c:pt idx="12">
                  <c:v>19.64</c:v>
                </c:pt>
                <c:pt idx="13">
                  <c:v>13.36</c:v>
                </c:pt>
                <c:pt idx="14">
                  <c:v>10.14</c:v>
                </c:pt>
                <c:pt idx="15">
                  <c:v>6.73</c:v>
                </c:pt>
              </c:numCache>
            </c:numRef>
          </c:val>
        </c:ser>
        <c:ser>
          <c:idx val="2"/>
          <c:order val="2"/>
          <c:tx>
            <c:strRef>
              <c:f>Munka1!$A$4</c:f>
              <c:strCache>
                <c:ptCount val="1"/>
                <c:pt idx="0">
                  <c:v>megfelelő a minősége és elérhető</c:v>
                </c:pt>
              </c:strCache>
            </c:strRef>
          </c:tx>
          <c:invertIfNegative val="0"/>
          <c:cat>
            <c:strRef>
              <c:f>Munka1!$B$1:$Q$1</c:f>
              <c:strCache>
                <c:ptCount val="16"/>
                <c:pt idx="0">
                  <c:v>Uszoda 2017</c:v>
                </c:pt>
                <c:pt idx="1">
                  <c:v>Uszoda 2018</c:v>
                </c:pt>
                <c:pt idx="2">
                  <c:v>Teniszpálya 2017</c:v>
                </c:pt>
                <c:pt idx="3">
                  <c:v>Teniszpálya 2018</c:v>
                </c:pt>
                <c:pt idx="4">
                  <c:v>Kézilabdapálya 2017</c:v>
                </c:pt>
                <c:pt idx="5">
                  <c:v>Kézilabdapálya 2018</c:v>
                </c:pt>
                <c:pt idx="6">
                  <c:v>Kosárlabdapálya 2017</c:v>
                </c:pt>
                <c:pt idx="7">
                  <c:v>Kosárlabdapálya 2018</c:v>
                </c:pt>
                <c:pt idx="8">
                  <c:v>Labdarúgópálya 2017</c:v>
                </c:pt>
                <c:pt idx="9">
                  <c:v>Labdarúgópálya 2018</c:v>
                </c:pt>
                <c:pt idx="10">
                  <c:v>Atlétikai csarnok 2017</c:v>
                </c:pt>
                <c:pt idx="11">
                  <c:v>Atlétikai csarnok 2018</c:v>
                </c:pt>
                <c:pt idx="12">
                  <c:v>Konditerem 2017</c:v>
                </c:pt>
                <c:pt idx="13">
                  <c:v>Konditerem 2018</c:v>
                </c:pt>
                <c:pt idx="14">
                  <c:v>Lovarda 2017</c:v>
                </c:pt>
                <c:pt idx="15">
                  <c:v>Lovarda 2018</c:v>
                </c:pt>
              </c:strCache>
            </c:strRef>
          </c:cat>
          <c:val>
            <c:numRef>
              <c:f>Munka1!$B$4:$Q$4</c:f>
              <c:numCache>
                <c:formatCode>General</c:formatCode>
                <c:ptCount val="16"/>
                <c:pt idx="0">
                  <c:v>21.47</c:v>
                </c:pt>
                <c:pt idx="1">
                  <c:v>23.8</c:v>
                </c:pt>
                <c:pt idx="2">
                  <c:v>16.84</c:v>
                </c:pt>
                <c:pt idx="3">
                  <c:v>22.79</c:v>
                </c:pt>
                <c:pt idx="4">
                  <c:v>18.3</c:v>
                </c:pt>
                <c:pt idx="5">
                  <c:v>17.559999999999999</c:v>
                </c:pt>
                <c:pt idx="6">
                  <c:v>17.95</c:v>
                </c:pt>
                <c:pt idx="7">
                  <c:v>19.940000000000001</c:v>
                </c:pt>
                <c:pt idx="8">
                  <c:v>14.38</c:v>
                </c:pt>
                <c:pt idx="9">
                  <c:v>16.48</c:v>
                </c:pt>
                <c:pt idx="10">
                  <c:v>21.75</c:v>
                </c:pt>
                <c:pt idx="11">
                  <c:v>25.6</c:v>
                </c:pt>
                <c:pt idx="12">
                  <c:v>13.33</c:v>
                </c:pt>
                <c:pt idx="13">
                  <c:v>17.91</c:v>
                </c:pt>
                <c:pt idx="14">
                  <c:v>15.94</c:v>
                </c:pt>
                <c:pt idx="15">
                  <c:v>12.39</c:v>
                </c:pt>
              </c:numCache>
            </c:numRef>
          </c:val>
        </c:ser>
        <c:ser>
          <c:idx val="3"/>
          <c:order val="3"/>
          <c:tx>
            <c:strRef>
              <c:f>Munka1!$A$5</c:f>
              <c:strCache>
                <c:ptCount val="1"/>
                <c:pt idx="0">
                  <c:v>kiváló a minősége</c:v>
                </c:pt>
              </c:strCache>
            </c:strRef>
          </c:tx>
          <c:invertIfNegative val="0"/>
          <c:cat>
            <c:strRef>
              <c:f>Munka1!$B$1:$Q$1</c:f>
              <c:strCache>
                <c:ptCount val="16"/>
                <c:pt idx="0">
                  <c:v>Uszoda 2017</c:v>
                </c:pt>
                <c:pt idx="1">
                  <c:v>Uszoda 2018</c:v>
                </c:pt>
                <c:pt idx="2">
                  <c:v>Teniszpálya 2017</c:v>
                </c:pt>
                <c:pt idx="3">
                  <c:v>Teniszpálya 2018</c:v>
                </c:pt>
                <c:pt idx="4">
                  <c:v>Kézilabdapálya 2017</c:v>
                </c:pt>
                <c:pt idx="5">
                  <c:v>Kézilabdapálya 2018</c:v>
                </c:pt>
                <c:pt idx="6">
                  <c:v>Kosárlabdapálya 2017</c:v>
                </c:pt>
                <c:pt idx="7">
                  <c:v>Kosárlabdapálya 2018</c:v>
                </c:pt>
                <c:pt idx="8">
                  <c:v>Labdarúgópálya 2017</c:v>
                </c:pt>
                <c:pt idx="9">
                  <c:v>Labdarúgópálya 2018</c:v>
                </c:pt>
                <c:pt idx="10">
                  <c:v>Atlétikai csarnok 2017</c:v>
                </c:pt>
                <c:pt idx="11">
                  <c:v>Atlétikai csarnok 2018</c:v>
                </c:pt>
                <c:pt idx="12">
                  <c:v>Konditerem 2017</c:v>
                </c:pt>
                <c:pt idx="13">
                  <c:v>Konditerem 2018</c:v>
                </c:pt>
                <c:pt idx="14">
                  <c:v>Lovarda 2017</c:v>
                </c:pt>
                <c:pt idx="15">
                  <c:v>Lovarda 2018</c:v>
                </c:pt>
              </c:strCache>
            </c:strRef>
          </c:cat>
          <c:val>
            <c:numRef>
              <c:f>Munka1!$B$5:$Q$5</c:f>
              <c:numCache>
                <c:formatCode>General</c:formatCode>
                <c:ptCount val="16"/>
                <c:pt idx="0">
                  <c:v>17.600000000000001</c:v>
                </c:pt>
                <c:pt idx="1">
                  <c:v>15.6</c:v>
                </c:pt>
                <c:pt idx="2">
                  <c:v>16.14</c:v>
                </c:pt>
                <c:pt idx="3">
                  <c:v>12.69</c:v>
                </c:pt>
                <c:pt idx="4">
                  <c:v>12.67</c:v>
                </c:pt>
                <c:pt idx="5">
                  <c:v>12.43</c:v>
                </c:pt>
                <c:pt idx="6">
                  <c:v>13.73</c:v>
                </c:pt>
                <c:pt idx="7">
                  <c:v>13.56</c:v>
                </c:pt>
                <c:pt idx="8">
                  <c:v>14.38</c:v>
                </c:pt>
                <c:pt idx="9">
                  <c:v>14.36</c:v>
                </c:pt>
                <c:pt idx="10">
                  <c:v>16.489999999999998</c:v>
                </c:pt>
                <c:pt idx="11">
                  <c:v>19.46</c:v>
                </c:pt>
                <c:pt idx="12">
                  <c:v>10.52</c:v>
                </c:pt>
                <c:pt idx="13">
                  <c:v>12.83</c:v>
                </c:pt>
                <c:pt idx="14">
                  <c:v>12.31</c:v>
                </c:pt>
                <c:pt idx="15">
                  <c:v>10.24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9929184"/>
        <c:axId val="509929576"/>
      </c:barChart>
      <c:catAx>
        <c:axId val="509929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09929576"/>
        <c:crosses val="autoZero"/>
        <c:auto val="1"/>
        <c:lblAlgn val="ctr"/>
        <c:lblOffset val="100"/>
        <c:noMultiLvlLbl val="0"/>
      </c:catAx>
      <c:valAx>
        <c:axId val="50992957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509929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Kulturális és szórakozási lehetőségek megítélése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23.38</c:v>
                </c:pt>
                <c:pt idx="1">
                  <c:v>31.08</c:v>
                </c:pt>
                <c:pt idx="2">
                  <c:v>14.15</c:v>
                </c:pt>
                <c:pt idx="3">
                  <c:v>29.54</c:v>
                </c:pt>
                <c:pt idx="4">
                  <c:v>1.85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  <c:pt idx="0">
                  <c:v>23.98</c:v>
                </c:pt>
                <c:pt idx="1">
                  <c:v>32.65</c:v>
                </c:pt>
                <c:pt idx="2">
                  <c:v>11.99</c:v>
                </c:pt>
                <c:pt idx="3">
                  <c:v>31.38</c:v>
                </c:pt>
                <c:pt idx="4">
                  <c:v>2.81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  <c:pt idx="0">
                  <c:v>21.72</c:v>
                </c:pt>
                <c:pt idx="1">
                  <c:v>21.93</c:v>
                </c:pt>
                <c:pt idx="2">
                  <c:v>8.1999999999999993</c:v>
                </c:pt>
                <c:pt idx="3">
                  <c:v>40.369999999999997</c:v>
                </c:pt>
                <c:pt idx="4">
                  <c:v>7.79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Munka1!$E$2:$E$6</c:f>
              <c:numCache>
                <c:formatCode>General</c:formatCode>
                <c:ptCount val="5"/>
                <c:pt idx="0">
                  <c:v>21.17</c:v>
                </c:pt>
                <c:pt idx="1">
                  <c:v>29.37</c:v>
                </c:pt>
                <c:pt idx="2">
                  <c:v>14.84</c:v>
                </c:pt>
                <c:pt idx="3">
                  <c:v>33.69</c:v>
                </c:pt>
                <c:pt idx="4">
                  <c:v>0.93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Munka1!$F$2:$F$6</c:f>
              <c:numCache>
                <c:formatCode>General</c:formatCode>
                <c:ptCount val="5"/>
                <c:pt idx="0">
                  <c:v>20.97</c:v>
                </c:pt>
                <c:pt idx="1">
                  <c:v>39.21</c:v>
                </c:pt>
                <c:pt idx="2">
                  <c:v>11.55</c:v>
                </c:pt>
                <c:pt idx="3">
                  <c:v>26.44</c:v>
                </c:pt>
                <c:pt idx="4">
                  <c:v>1.82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Munka1!$G$2:$G$6</c:f>
              <c:numCache>
                <c:formatCode>General</c:formatCode>
                <c:ptCount val="5"/>
                <c:pt idx="0">
                  <c:v>14.77</c:v>
                </c:pt>
                <c:pt idx="1">
                  <c:v>40.92</c:v>
                </c:pt>
                <c:pt idx="2">
                  <c:v>14.77</c:v>
                </c:pt>
                <c:pt idx="3">
                  <c:v>28.92</c:v>
                </c:pt>
                <c:pt idx="4">
                  <c:v>0.62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Munka1!$H$2:$H$6</c:f>
              <c:numCache>
                <c:formatCode>General</c:formatCode>
                <c:ptCount val="5"/>
                <c:pt idx="0">
                  <c:v>22.55</c:v>
                </c:pt>
                <c:pt idx="1">
                  <c:v>30.07</c:v>
                </c:pt>
                <c:pt idx="2">
                  <c:v>14.71</c:v>
                </c:pt>
                <c:pt idx="3">
                  <c:v>32.03</c:v>
                </c:pt>
                <c:pt idx="4">
                  <c:v>0.65</c:v>
                </c:pt>
              </c:numCache>
            </c:numRef>
          </c:val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 elégedett</c:v>
                </c:pt>
                <c:pt idx="1">
                  <c:v>Bővítésre szorul a lehetőségek köre</c:v>
                </c:pt>
                <c:pt idx="2">
                  <c:v>Színvonalasabb rendezvényekre lenne igény</c:v>
                </c:pt>
                <c:pt idx="3">
                  <c:v>Nem veszi igénybe ezeket a szolgáltatásokat</c:v>
                </c:pt>
                <c:pt idx="4">
                  <c:v>Nem válaszolt</c:v>
                </c:pt>
              </c:strCache>
            </c:strRef>
          </c:cat>
          <c:val>
            <c:numRef>
              <c:f>Munka1!$I$2:$I$6</c:f>
              <c:numCache>
                <c:formatCode>General</c:formatCode>
                <c:ptCount val="5"/>
                <c:pt idx="0">
                  <c:v>17.38</c:v>
                </c:pt>
                <c:pt idx="1">
                  <c:v>33</c:v>
                </c:pt>
                <c:pt idx="2">
                  <c:v>16.37</c:v>
                </c:pt>
                <c:pt idx="3">
                  <c:v>31.74</c:v>
                </c:pt>
                <c:pt idx="4">
                  <c:v>1.51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0193152"/>
        <c:axId val="470193544"/>
      </c:barChart>
      <c:catAx>
        <c:axId val="470193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0193544"/>
        <c:crosses val="autoZero"/>
        <c:auto val="1"/>
        <c:lblAlgn val="ctr"/>
        <c:lblOffset val="100"/>
        <c:noMultiLvlLbl val="0"/>
      </c:catAx>
      <c:valAx>
        <c:axId val="470193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470193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A válaszadók teljesített</a:t>
            </a:r>
            <a:r>
              <a:rPr lang="hu-HU" sz="1400" baseline="0"/>
              <a:t> féléveinek száma</a:t>
            </a:r>
          </a:p>
          <a:p>
            <a:pPr>
              <a:defRPr sz="1400"/>
            </a:pPr>
            <a:r>
              <a:rPr lang="hu-HU" sz="1400" baseline="0"/>
              <a:t>[%]</a:t>
            </a:r>
            <a:endParaRPr lang="hu-HU" sz="1400"/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Munka1!$B$2:$I$2</c:f>
              <c:numCache>
                <c:formatCode>General</c:formatCode>
                <c:ptCount val="8"/>
                <c:pt idx="0">
                  <c:v>26.46</c:v>
                </c:pt>
                <c:pt idx="1">
                  <c:v>18.32</c:v>
                </c:pt>
                <c:pt idx="2">
                  <c:v>18.649999999999999</c:v>
                </c:pt>
                <c:pt idx="3">
                  <c:v>6.49</c:v>
                </c:pt>
                <c:pt idx="4">
                  <c:v>11.85</c:v>
                </c:pt>
                <c:pt idx="5">
                  <c:v>0.31</c:v>
                </c:pt>
                <c:pt idx="6">
                  <c:v>2.29</c:v>
                </c:pt>
                <c:pt idx="7">
                  <c:v>0.5</c:v>
                </c:pt>
              </c:numCache>
            </c:numRef>
          </c:val>
        </c:ser>
        <c:ser>
          <c:idx val="1"/>
          <c:order val="1"/>
          <c:tx>
            <c:strRef>
              <c:f>Munka1!$A$3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Munka1!$B$3:$I$3</c:f>
              <c:numCache>
                <c:formatCode>General</c:formatCode>
                <c:ptCount val="8"/>
                <c:pt idx="0">
                  <c:v>10.15</c:v>
                </c:pt>
                <c:pt idx="1">
                  <c:v>23.16</c:v>
                </c:pt>
                <c:pt idx="2">
                  <c:v>17.829999999999998</c:v>
                </c:pt>
                <c:pt idx="3">
                  <c:v>32.64</c:v>
                </c:pt>
                <c:pt idx="4">
                  <c:v>31.31</c:v>
                </c:pt>
                <c:pt idx="5">
                  <c:v>36.31</c:v>
                </c:pt>
                <c:pt idx="6">
                  <c:v>44.77</c:v>
                </c:pt>
                <c:pt idx="7">
                  <c:v>43.58</c:v>
                </c:pt>
              </c:numCache>
            </c:numRef>
          </c:val>
        </c:ser>
        <c:ser>
          <c:idx val="2"/>
          <c:order val="2"/>
          <c:tx>
            <c:strRef>
              <c:f>Munka1!$A$4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Munka1!$B$4:$I$4</c:f>
              <c:numCache>
                <c:formatCode>General</c:formatCode>
                <c:ptCount val="8"/>
                <c:pt idx="0">
                  <c:v>16.62</c:v>
                </c:pt>
                <c:pt idx="1">
                  <c:v>13.23</c:v>
                </c:pt>
                <c:pt idx="2">
                  <c:v>16.39</c:v>
                </c:pt>
                <c:pt idx="3">
                  <c:v>7.26</c:v>
                </c:pt>
                <c:pt idx="4">
                  <c:v>3.04</c:v>
                </c:pt>
                <c:pt idx="5">
                  <c:v>4.62</c:v>
                </c:pt>
                <c:pt idx="6">
                  <c:v>4.25</c:v>
                </c:pt>
                <c:pt idx="7">
                  <c:v>4.53</c:v>
                </c:pt>
              </c:numCache>
            </c:numRef>
          </c:val>
        </c:ser>
        <c:ser>
          <c:idx val="3"/>
          <c:order val="3"/>
          <c:tx>
            <c:strRef>
              <c:f>Munka1!$A$5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Munka1!$B$5:$I$5</c:f>
              <c:numCache>
                <c:formatCode>General</c:formatCode>
                <c:ptCount val="8"/>
                <c:pt idx="0">
                  <c:v>10.15</c:v>
                </c:pt>
                <c:pt idx="1">
                  <c:v>15.78</c:v>
                </c:pt>
                <c:pt idx="2">
                  <c:v>14.75</c:v>
                </c:pt>
                <c:pt idx="3">
                  <c:v>25.04</c:v>
                </c:pt>
                <c:pt idx="4">
                  <c:v>29.48</c:v>
                </c:pt>
                <c:pt idx="5">
                  <c:v>33.229999999999997</c:v>
                </c:pt>
                <c:pt idx="6">
                  <c:v>18.3</c:v>
                </c:pt>
                <c:pt idx="7">
                  <c:v>28.21</c:v>
                </c:pt>
              </c:numCache>
            </c:numRef>
          </c:val>
        </c:ser>
        <c:ser>
          <c:idx val="4"/>
          <c:order val="4"/>
          <c:tx>
            <c:strRef>
              <c:f>Munka1!$A$6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Munka1!$B$6:$I$6</c:f>
              <c:numCache>
                <c:formatCode>General</c:formatCode>
                <c:ptCount val="8"/>
                <c:pt idx="0">
                  <c:v>15.08</c:v>
                </c:pt>
                <c:pt idx="1">
                  <c:v>10.18</c:v>
                </c:pt>
                <c:pt idx="2">
                  <c:v>9.84</c:v>
                </c:pt>
                <c:pt idx="3">
                  <c:v>7.57</c:v>
                </c:pt>
                <c:pt idx="4">
                  <c:v>4.8600000000000003</c:v>
                </c:pt>
                <c:pt idx="5">
                  <c:v>4.3099999999999996</c:v>
                </c:pt>
                <c:pt idx="6">
                  <c:v>5.88</c:v>
                </c:pt>
                <c:pt idx="7">
                  <c:v>6.3</c:v>
                </c:pt>
              </c:numCache>
            </c:numRef>
          </c:val>
        </c:ser>
        <c:ser>
          <c:idx val="5"/>
          <c:order val="5"/>
          <c:tx>
            <c:strRef>
              <c:f>Munka1!$A$7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Munka1!$B$7:$I$7</c:f>
              <c:numCache>
                <c:formatCode>General</c:formatCode>
                <c:ptCount val="8"/>
                <c:pt idx="0">
                  <c:v>13.23</c:v>
                </c:pt>
                <c:pt idx="1">
                  <c:v>13.49</c:v>
                </c:pt>
                <c:pt idx="2">
                  <c:v>11.68</c:v>
                </c:pt>
                <c:pt idx="3">
                  <c:v>12.52</c:v>
                </c:pt>
                <c:pt idx="4">
                  <c:v>9.1199999999999992</c:v>
                </c:pt>
                <c:pt idx="5">
                  <c:v>11.08</c:v>
                </c:pt>
                <c:pt idx="6">
                  <c:v>11.11</c:v>
                </c:pt>
                <c:pt idx="7">
                  <c:v>9.57</c:v>
                </c:pt>
              </c:numCache>
            </c:numRef>
          </c:val>
        </c:ser>
        <c:ser>
          <c:idx val="6"/>
          <c:order val="6"/>
          <c:tx>
            <c:strRef>
              <c:f>Munka1!$A$8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Munka1!$B$8:$I$8</c:f>
              <c:numCache>
                <c:formatCode>General</c:formatCode>
                <c:ptCount val="8"/>
                <c:pt idx="0">
                  <c:v>4</c:v>
                </c:pt>
                <c:pt idx="1">
                  <c:v>2.29</c:v>
                </c:pt>
                <c:pt idx="2">
                  <c:v>4.0999999999999996</c:v>
                </c:pt>
                <c:pt idx="3">
                  <c:v>1.55</c:v>
                </c:pt>
                <c:pt idx="4">
                  <c:v>0.3</c:v>
                </c:pt>
                <c:pt idx="5">
                  <c:v>2.46</c:v>
                </c:pt>
                <c:pt idx="6">
                  <c:v>2.29</c:v>
                </c:pt>
                <c:pt idx="7">
                  <c:v>2.02</c:v>
                </c:pt>
              </c:numCache>
            </c:numRef>
          </c:val>
        </c:ser>
        <c:ser>
          <c:idx val="7"/>
          <c:order val="7"/>
          <c:tx>
            <c:strRef>
              <c:f>Munka1!$A$9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Munka1!$B$9:$I$9</c:f>
              <c:numCache>
                <c:formatCode>General</c:formatCode>
                <c:ptCount val="8"/>
                <c:pt idx="0">
                  <c:v>4.3099999999999996</c:v>
                </c:pt>
                <c:pt idx="1">
                  <c:v>3.56</c:v>
                </c:pt>
                <c:pt idx="2">
                  <c:v>6.15</c:v>
                </c:pt>
                <c:pt idx="3">
                  <c:v>5.87</c:v>
                </c:pt>
                <c:pt idx="4">
                  <c:v>3.34</c:v>
                </c:pt>
                <c:pt idx="5">
                  <c:v>2.77</c:v>
                </c:pt>
                <c:pt idx="6">
                  <c:v>5.88</c:v>
                </c:pt>
                <c:pt idx="7">
                  <c:v>1.26</c:v>
                </c:pt>
              </c:numCache>
            </c:numRef>
          </c:val>
        </c:ser>
        <c:ser>
          <c:idx val="8"/>
          <c:order val="8"/>
          <c:tx>
            <c:strRef>
              <c:f>Munka1!$A$10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Munka1!$B$10:$I$10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1.23</c:v>
                </c:pt>
                <c:pt idx="6">
                  <c:v>0.65</c:v>
                </c:pt>
                <c:pt idx="7">
                  <c:v>1.01</c:v>
                </c:pt>
              </c:numCache>
            </c:numRef>
          </c:val>
        </c:ser>
        <c:ser>
          <c:idx val="9"/>
          <c:order val="9"/>
          <c:tx>
            <c:strRef>
              <c:f>Munka1!$A$11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Munka1!$B$11:$I$11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1.54</c:v>
                </c:pt>
                <c:pt idx="6">
                  <c:v>1.31</c:v>
                </c:pt>
                <c:pt idx="7">
                  <c:v>0.5</c:v>
                </c:pt>
              </c:numCache>
            </c:numRef>
          </c:val>
        </c:ser>
        <c:ser>
          <c:idx val="10"/>
          <c:order val="10"/>
          <c:tx>
            <c:strRef>
              <c:f>Munka1!$A$12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Munka1!$B$12:$I$12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1.63</c:v>
                </c:pt>
                <c:pt idx="7">
                  <c:v>1.51</c:v>
                </c:pt>
              </c:numCache>
            </c:numRef>
          </c:val>
        </c:ser>
        <c:ser>
          <c:idx val="11"/>
          <c:order val="11"/>
          <c:tx>
            <c:strRef>
              <c:f>Munka1!$A$13</c:f>
              <c:strCache>
                <c:ptCount val="1"/>
                <c:pt idx="0">
                  <c:v>Nem válaszolt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Munka1!$B$13:$I$13</c:f>
              <c:numCache>
                <c:formatCode>General</c:formatCode>
                <c:ptCount val="8"/>
                <c:pt idx="0">
                  <c:v>0</c:v>
                </c:pt>
                <c:pt idx="1">
                  <c:v>2.54</c:v>
                </c:pt>
                <c:pt idx="2">
                  <c:v>0.61</c:v>
                </c:pt>
                <c:pt idx="3">
                  <c:v>1.24</c:v>
                </c:pt>
                <c:pt idx="4">
                  <c:v>6.68</c:v>
                </c:pt>
                <c:pt idx="5">
                  <c:v>1.23</c:v>
                </c:pt>
                <c:pt idx="6">
                  <c:v>1.63</c:v>
                </c:pt>
                <c:pt idx="7">
                  <c:v>1.01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503983472"/>
        <c:axId val="503983864"/>
      </c:barChart>
      <c:catAx>
        <c:axId val="50398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3983864"/>
        <c:crosses val="autoZero"/>
        <c:auto val="1"/>
        <c:lblAlgn val="ctr"/>
        <c:lblOffset val="100"/>
        <c:noMultiLvlLbl val="0"/>
      </c:catAx>
      <c:valAx>
        <c:axId val="5039838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one"/>
        <c:crossAx val="503983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válaszadók munkarend szerinti megoszlása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Munka1!$A$2</c:f>
              <c:strCache>
                <c:ptCount val="1"/>
                <c:pt idx="0">
                  <c:v>Nappali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Munka1!$B$2:$I$2</c:f>
              <c:numCache>
                <c:formatCode>General</c:formatCode>
                <c:ptCount val="8"/>
                <c:pt idx="0">
                  <c:v>57.54</c:v>
                </c:pt>
                <c:pt idx="1">
                  <c:v>57.14</c:v>
                </c:pt>
                <c:pt idx="2">
                  <c:v>45.08</c:v>
                </c:pt>
                <c:pt idx="3">
                  <c:v>65.22</c:v>
                </c:pt>
                <c:pt idx="4">
                  <c:v>76.900000000000006</c:v>
                </c:pt>
                <c:pt idx="5">
                  <c:v>87.38</c:v>
                </c:pt>
                <c:pt idx="6">
                  <c:v>70.92</c:v>
                </c:pt>
                <c:pt idx="7">
                  <c:v>74.31</c:v>
                </c:pt>
              </c:numCache>
            </c:numRef>
          </c:val>
        </c:ser>
        <c:ser>
          <c:idx val="1"/>
          <c:order val="1"/>
          <c:tx>
            <c:strRef>
              <c:f>Munka1!$A$3</c:f>
              <c:strCache>
                <c:ptCount val="1"/>
                <c:pt idx="0">
                  <c:v>Levelező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Munka1!$B$3:$I$3</c:f>
              <c:numCache>
                <c:formatCode>General</c:formatCode>
                <c:ptCount val="8"/>
                <c:pt idx="0">
                  <c:v>40.619999999999997</c:v>
                </c:pt>
                <c:pt idx="1">
                  <c:v>41.1</c:v>
                </c:pt>
                <c:pt idx="2">
                  <c:v>53.28</c:v>
                </c:pt>
                <c:pt idx="3">
                  <c:v>32.299999999999997</c:v>
                </c:pt>
                <c:pt idx="4">
                  <c:v>21.88</c:v>
                </c:pt>
                <c:pt idx="5">
                  <c:v>11.69</c:v>
                </c:pt>
                <c:pt idx="6">
                  <c:v>27.78</c:v>
                </c:pt>
                <c:pt idx="7">
                  <c:v>25.44</c:v>
                </c:pt>
              </c:numCache>
            </c:numRef>
          </c:val>
        </c:ser>
        <c:ser>
          <c:idx val="2"/>
          <c:order val="2"/>
          <c:tx>
            <c:strRef>
              <c:f>Munka1!$A$4</c:f>
              <c:strCache>
                <c:ptCount val="1"/>
                <c:pt idx="0">
                  <c:v>Esti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Munka1!$B$4:$I$4</c:f>
              <c:numCache>
                <c:formatCode>General</c:formatCode>
                <c:ptCount val="8"/>
                <c:pt idx="0">
                  <c:v>0.92</c:v>
                </c:pt>
                <c:pt idx="1">
                  <c:v>1.75</c:v>
                </c:pt>
                <c:pt idx="2">
                  <c:v>1.23</c:v>
                </c:pt>
                <c:pt idx="3">
                  <c:v>0.93</c:v>
                </c:pt>
                <c:pt idx="4">
                  <c:v>0</c:v>
                </c:pt>
                <c:pt idx="5">
                  <c:v>0.31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Munka1!$A$5</c:f>
              <c:strCache>
                <c:ptCount val="1"/>
                <c:pt idx="0">
                  <c:v>Nem válaszolt</c:v>
                </c:pt>
              </c:strCache>
            </c:strRef>
          </c:tx>
          <c:invertIfNegative val="0"/>
          <c:cat>
            <c:strRef>
              <c:f>Munka1!$B$1:$I$1</c:f>
              <c:strCach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strCache>
            </c:strRef>
          </c:cat>
          <c:val>
            <c:numRef>
              <c:f>Munka1!$B$5:$I$5</c:f>
              <c:numCache>
                <c:formatCode>General</c:formatCode>
                <c:ptCount val="8"/>
                <c:pt idx="0">
                  <c:v>0.92</c:v>
                </c:pt>
                <c:pt idx="1">
                  <c:v>1</c:v>
                </c:pt>
                <c:pt idx="2">
                  <c:v>0.2</c:v>
                </c:pt>
                <c:pt idx="3">
                  <c:v>1.55</c:v>
                </c:pt>
                <c:pt idx="4">
                  <c:v>1.22</c:v>
                </c:pt>
                <c:pt idx="5">
                  <c:v>0.62</c:v>
                </c:pt>
                <c:pt idx="6">
                  <c:v>1.31</c:v>
                </c:pt>
                <c:pt idx="7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503975280"/>
        <c:axId val="503985040"/>
      </c:barChart>
      <c:valAx>
        <c:axId val="503985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503975280"/>
        <c:crosses val="autoZero"/>
        <c:crossBetween val="between"/>
      </c:valAx>
      <c:catAx>
        <c:axId val="503975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398504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A felmérésben részt vevő hallgatók aránya a</a:t>
            </a:r>
            <a:r>
              <a:rPr lang="hu-HU" sz="1400" baseline="0"/>
              <a:t> megkérdezettek számához képest</a:t>
            </a:r>
          </a:p>
          <a:p>
            <a:pPr>
              <a:defRPr sz="1400"/>
            </a:pPr>
            <a:r>
              <a:rPr lang="hu-HU" sz="1400" baseline="0"/>
              <a:t>[%]</a:t>
            </a:r>
            <a:endParaRPr lang="hu-H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Munka1!$B$2</c:f>
              <c:numCache>
                <c:formatCode>General</c:formatCode>
                <c:ptCount val="1"/>
                <c:pt idx="0">
                  <c:v>7.46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Munka1!$C$2</c:f>
              <c:numCache>
                <c:formatCode>General</c:formatCode>
                <c:ptCount val="1"/>
                <c:pt idx="0">
                  <c:v>10.67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Munka1!$D$2</c:f>
              <c:numCache>
                <c:formatCode>General</c:formatCode>
                <c:ptCount val="1"/>
                <c:pt idx="0">
                  <c:v>10.79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Munka1!$E$2</c:f>
              <c:numCache>
                <c:formatCode>General</c:formatCode>
                <c:ptCount val="1"/>
                <c:pt idx="0">
                  <c:v>14.37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Munka1!$F$2</c:f>
              <c:numCache>
                <c:formatCode>General</c:formatCode>
                <c:ptCount val="1"/>
                <c:pt idx="0">
                  <c:v>13.14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Munka1!$G$2</c:f>
              <c:numCache>
                <c:formatCode>General</c:formatCode>
                <c:ptCount val="1"/>
                <c:pt idx="0">
                  <c:v>19.34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Munka1!$H$2</c:f>
              <c:numCache>
                <c:formatCode>General</c:formatCode>
                <c:ptCount val="1"/>
                <c:pt idx="0">
                  <c:v>11.95</c:v>
                </c:pt>
              </c:numCache>
            </c:numRef>
          </c:val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Munka1!$A$2</c:f>
              <c:numCache>
                <c:formatCode>General</c:formatCode>
                <c:ptCount val="1"/>
              </c:numCache>
            </c:numRef>
          </c:cat>
          <c:val>
            <c:numRef>
              <c:f>Munka1!$I$2</c:f>
              <c:numCache>
                <c:formatCode>General</c:formatCode>
                <c:ptCount val="1"/>
                <c:pt idx="0">
                  <c:v>17.25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976456"/>
        <c:axId val="503976848"/>
      </c:barChart>
      <c:catAx>
        <c:axId val="503976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3976848"/>
        <c:crosses val="autoZero"/>
        <c:auto val="1"/>
        <c:lblAlgn val="ctr"/>
        <c:lblOffset val="100"/>
        <c:noMultiLvlLbl val="0"/>
      </c:catAx>
      <c:valAx>
        <c:axId val="503976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3976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Milyen forrásból szerzett információt a Nyíregyházi Egyetemről?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3174358543260376E-2"/>
          <c:y val="0.15262411347517729"/>
          <c:w val="0.90151919622146859"/>
          <c:h val="0.588091604603589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Munka1!$A$2:$A$9</c:f>
              <c:strCache>
                <c:ptCount val="8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Televízió, rádió, újság</c:v>
                </c:pt>
                <c:pt idx="5">
                  <c:v>Internet</c:v>
                </c:pt>
                <c:pt idx="6">
                  <c:v>Szülők, rokonok, barátok</c:v>
                </c:pt>
                <c:pt idx="7">
                  <c:v>Egyéb forrás</c:v>
                </c:pt>
              </c:strCache>
            </c:strRef>
          </c:cat>
          <c:val>
            <c:numRef>
              <c:f>Munka1!$B$2:$B$9</c:f>
              <c:numCache>
                <c:formatCode>General</c:formatCode>
                <c:ptCount val="8"/>
                <c:pt idx="0">
                  <c:v>62.46</c:v>
                </c:pt>
                <c:pt idx="1">
                  <c:v>25.23</c:v>
                </c:pt>
                <c:pt idx="2">
                  <c:v>20</c:v>
                </c:pt>
                <c:pt idx="3">
                  <c:v>8.92</c:v>
                </c:pt>
                <c:pt idx="4">
                  <c:v>11.69</c:v>
                </c:pt>
                <c:pt idx="5">
                  <c:v>36</c:v>
                </c:pt>
                <c:pt idx="6">
                  <c:v>28</c:v>
                </c:pt>
                <c:pt idx="7">
                  <c:v>8.31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Munka1!$A$2:$A$9</c:f>
              <c:strCache>
                <c:ptCount val="8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Televízió, rádió, újság</c:v>
                </c:pt>
                <c:pt idx="5">
                  <c:v>Internet</c:v>
                </c:pt>
                <c:pt idx="6">
                  <c:v>Szülők, rokonok, barátok</c:v>
                </c:pt>
                <c:pt idx="7">
                  <c:v>Egyéb forrás</c:v>
                </c:pt>
              </c:strCache>
            </c:strRef>
          </c:cat>
          <c:val>
            <c:numRef>
              <c:f>Munka1!$C$2:$C$9</c:f>
              <c:numCache>
                <c:formatCode>General</c:formatCode>
                <c:ptCount val="8"/>
                <c:pt idx="0">
                  <c:v>61.04</c:v>
                </c:pt>
                <c:pt idx="1">
                  <c:v>26.3</c:v>
                </c:pt>
                <c:pt idx="2">
                  <c:v>20.100000000000001</c:v>
                </c:pt>
                <c:pt idx="3">
                  <c:v>7.2</c:v>
                </c:pt>
                <c:pt idx="4">
                  <c:v>9.18</c:v>
                </c:pt>
                <c:pt idx="5">
                  <c:v>38.96</c:v>
                </c:pt>
                <c:pt idx="6">
                  <c:v>29.53</c:v>
                </c:pt>
                <c:pt idx="7">
                  <c:v>8.44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Munka1!$A$2:$A$9</c:f>
              <c:strCache>
                <c:ptCount val="8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Televízió, rádió, újság</c:v>
                </c:pt>
                <c:pt idx="5">
                  <c:v>Internet</c:v>
                </c:pt>
                <c:pt idx="6">
                  <c:v>Szülők, rokonok, barátok</c:v>
                </c:pt>
                <c:pt idx="7">
                  <c:v>Egyéb forrás</c:v>
                </c:pt>
              </c:strCache>
            </c:strRef>
          </c:cat>
          <c:val>
            <c:numRef>
              <c:f>Munka1!$D$2:$D$9</c:f>
              <c:numCache>
                <c:formatCode>General</c:formatCode>
                <c:ptCount val="8"/>
                <c:pt idx="0">
                  <c:v>61.89</c:v>
                </c:pt>
                <c:pt idx="1">
                  <c:v>33.4</c:v>
                </c:pt>
                <c:pt idx="2">
                  <c:v>20.49</c:v>
                </c:pt>
                <c:pt idx="3">
                  <c:v>9.2200000000000006</c:v>
                </c:pt>
                <c:pt idx="4">
                  <c:v>11.07</c:v>
                </c:pt>
                <c:pt idx="5">
                  <c:v>49.39</c:v>
                </c:pt>
                <c:pt idx="6">
                  <c:v>31.56</c:v>
                </c:pt>
                <c:pt idx="7">
                  <c:v>3.28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Munka1!$A$2:$A$9</c:f>
              <c:strCache>
                <c:ptCount val="8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Televízió, rádió, újság</c:v>
                </c:pt>
                <c:pt idx="5">
                  <c:v>Internet</c:v>
                </c:pt>
                <c:pt idx="6">
                  <c:v>Szülők, rokonok, barátok</c:v>
                </c:pt>
                <c:pt idx="7">
                  <c:v>Egyéb forrás</c:v>
                </c:pt>
              </c:strCache>
            </c:strRef>
          </c:cat>
          <c:val>
            <c:numRef>
              <c:f>Munka1!$E$2:$E$9</c:f>
              <c:numCache>
                <c:formatCode>General</c:formatCode>
                <c:ptCount val="8"/>
                <c:pt idx="0">
                  <c:v>52.09</c:v>
                </c:pt>
                <c:pt idx="1">
                  <c:v>24.88</c:v>
                </c:pt>
                <c:pt idx="2">
                  <c:v>23.96</c:v>
                </c:pt>
                <c:pt idx="3">
                  <c:v>8.81</c:v>
                </c:pt>
                <c:pt idx="4">
                  <c:v>6.8</c:v>
                </c:pt>
                <c:pt idx="5">
                  <c:v>40.340000000000003</c:v>
                </c:pt>
                <c:pt idx="6">
                  <c:v>28.9</c:v>
                </c:pt>
                <c:pt idx="7">
                  <c:v>100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Munka1!$A$2:$A$9</c:f>
              <c:strCache>
                <c:ptCount val="8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Televízió, rádió, újság</c:v>
                </c:pt>
                <c:pt idx="5">
                  <c:v>Internet</c:v>
                </c:pt>
                <c:pt idx="6">
                  <c:v>Szülők, rokonok, barátok</c:v>
                </c:pt>
                <c:pt idx="7">
                  <c:v>Egyéb forrás</c:v>
                </c:pt>
              </c:strCache>
            </c:strRef>
          </c:cat>
          <c:val>
            <c:numRef>
              <c:f>Munka1!$F$2:$F$9</c:f>
              <c:numCache>
                <c:formatCode>General</c:formatCode>
                <c:ptCount val="8"/>
                <c:pt idx="0">
                  <c:v>46.5</c:v>
                </c:pt>
                <c:pt idx="1">
                  <c:v>26.44</c:v>
                </c:pt>
                <c:pt idx="2">
                  <c:v>24.32</c:v>
                </c:pt>
                <c:pt idx="3">
                  <c:v>13.07</c:v>
                </c:pt>
                <c:pt idx="4">
                  <c:v>4.8600000000000003</c:v>
                </c:pt>
                <c:pt idx="5">
                  <c:v>41.34</c:v>
                </c:pt>
                <c:pt idx="6">
                  <c:v>34.950000000000003</c:v>
                </c:pt>
                <c:pt idx="7">
                  <c:v>100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Munka1!$A$2:$A$9</c:f>
              <c:strCache>
                <c:ptCount val="8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Televízió, rádió, újság</c:v>
                </c:pt>
                <c:pt idx="5">
                  <c:v>Internet</c:v>
                </c:pt>
                <c:pt idx="6">
                  <c:v>Szülők, rokonok, barátok</c:v>
                </c:pt>
                <c:pt idx="7">
                  <c:v>Egyéb forrás</c:v>
                </c:pt>
              </c:strCache>
            </c:strRef>
          </c:cat>
          <c:val>
            <c:numRef>
              <c:f>Munka1!$G$2:$G$9</c:f>
              <c:numCache>
                <c:formatCode>General</c:formatCode>
                <c:ptCount val="8"/>
                <c:pt idx="0">
                  <c:v>49.54</c:v>
                </c:pt>
                <c:pt idx="1">
                  <c:v>20.92</c:v>
                </c:pt>
                <c:pt idx="2">
                  <c:v>27.08</c:v>
                </c:pt>
                <c:pt idx="3">
                  <c:v>12.62</c:v>
                </c:pt>
                <c:pt idx="4">
                  <c:v>4.92</c:v>
                </c:pt>
                <c:pt idx="5">
                  <c:v>42.77</c:v>
                </c:pt>
                <c:pt idx="6">
                  <c:v>32.92</c:v>
                </c:pt>
                <c:pt idx="7">
                  <c:v>100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Munka1!$A$2:$A$9</c:f>
              <c:strCache>
                <c:ptCount val="8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Televízió, rádió, újság</c:v>
                </c:pt>
                <c:pt idx="5">
                  <c:v>Internet</c:v>
                </c:pt>
                <c:pt idx="6">
                  <c:v>Szülők, rokonok, barátok</c:v>
                </c:pt>
                <c:pt idx="7">
                  <c:v>Egyéb forrás</c:v>
                </c:pt>
              </c:strCache>
            </c:strRef>
          </c:cat>
          <c:val>
            <c:numRef>
              <c:f>Munka1!$H$2:$H$9</c:f>
              <c:numCache>
                <c:formatCode>General</c:formatCode>
                <c:ptCount val="8"/>
                <c:pt idx="0">
                  <c:v>48.37</c:v>
                </c:pt>
                <c:pt idx="1">
                  <c:v>27.45</c:v>
                </c:pt>
                <c:pt idx="2">
                  <c:v>24.84</c:v>
                </c:pt>
                <c:pt idx="3">
                  <c:v>12.42</c:v>
                </c:pt>
                <c:pt idx="4">
                  <c:v>3.59</c:v>
                </c:pt>
                <c:pt idx="5">
                  <c:v>43.79</c:v>
                </c:pt>
                <c:pt idx="6">
                  <c:v>35.29</c:v>
                </c:pt>
                <c:pt idx="7">
                  <c:v>100</c:v>
                </c:pt>
              </c:numCache>
            </c:numRef>
          </c:val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Munka1!$A$2:$A$9</c:f>
              <c:strCache>
                <c:ptCount val="8"/>
                <c:pt idx="0">
                  <c:v>Felvételi tájékoztató</c:v>
                </c:pt>
                <c:pt idx="1">
                  <c:v>Végzett hallgatók</c:v>
                </c:pt>
                <c:pt idx="2">
                  <c:v>Nyílt nap</c:v>
                </c:pt>
                <c:pt idx="3">
                  <c:v>A középiskolában tartott tájékoztató előadás</c:v>
                </c:pt>
                <c:pt idx="4">
                  <c:v>Televízió, rádió, újság</c:v>
                </c:pt>
                <c:pt idx="5">
                  <c:v>Internet</c:v>
                </c:pt>
                <c:pt idx="6">
                  <c:v>Szülők, rokonok, barátok</c:v>
                </c:pt>
                <c:pt idx="7">
                  <c:v>Egyéb forrás</c:v>
                </c:pt>
              </c:strCache>
            </c:strRef>
          </c:cat>
          <c:val>
            <c:numRef>
              <c:f>Munka1!$I$2:$I$9</c:f>
              <c:numCache>
                <c:formatCode>General</c:formatCode>
                <c:ptCount val="8"/>
                <c:pt idx="0">
                  <c:v>51.89</c:v>
                </c:pt>
                <c:pt idx="1">
                  <c:v>24.69</c:v>
                </c:pt>
                <c:pt idx="2">
                  <c:v>30.48</c:v>
                </c:pt>
                <c:pt idx="3">
                  <c:v>16.88</c:v>
                </c:pt>
                <c:pt idx="4">
                  <c:v>5.79</c:v>
                </c:pt>
                <c:pt idx="5">
                  <c:v>41.81</c:v>
                </c:pt>
                <c:pt idx="6">
                  <c:v>33.25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254400"/>
        <c:axId val="424254792"/>
      </c:barChart>
      <c:catAx>
        <c:axId val="424254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4254792"/>
        <c:crosses val="autoZero"/>
        <c:auto val="1"/>
        <c:lblAlgn val="ctr"/>
        <c:lblOffset val="100"/>
        <c:noMultiLvlLbl val="0"/>
      </c:catAx>
      <c:valAx>
        <c:axId val="424254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424254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Hogyan</a:t>
            </a:r>
            <a:r>
              <a:rPr lang="hu-HU" sz="1400" baseline="0"/>
              <a:t> ítéli meg a képzési kínálatot?</a:t>
            </a:r>
          </a:p>
          <a:p>
            <a:pPr>
              <a:defRPr/>
            </a:pPr>
            <a:r>
              <a:rPr lang="hu-HU" sz="1400" baseline="0"/>
              <a:t>[%]</a:t>
            </a:r>
            <a:endParaRPr lang="hu-H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28.62</c:v>
                </c:pt>
                <c:pt idx="1">
                  <c:v>64.31</c:v>
                </c:pt>
                <c:pt idx="2">
                  <c:v>2.46</c:v>
                </c:pt>
                <c:pt idx="3">
                  <c:v>4.62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  <c:pt idx="0">
                  <c:v>26.25</c:v>
                </c:pt>
                <c:pt idx="1">
                  <c:v>64.75</c:v>
                </c:pt>
                <c:pt idx="2">
                  <c:v>4</c:v>
                </c:pt>
                <c:pt idx="3">
                  <c:v>5</c:v>
                </c:pt>
                <c:pt idx="4">
                  <c:v>0.75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  <c:pt idx="0">
                  <c:v>22.75</c:v>
                </c:pt>
                <c:pt idx="1">
                  <c:v>63.93</c:v>
                </c:pt>
                <c:pt idx="2">
                  <c:v>5.74</c:v>
                </c:pt>
                <c:pt idx="3">
                  <c:v>6.15</c:v>
                </c:pt>
                <c:pt idx="4">
                  <c:v>1.43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Munka1!$E$2:$E$6</c:f>
              <c:numCache>
                <c:formatCode>General</c:formatCode>
                <c:ptCount val="5"/>
                <c:pt idx="0">
                  <c:v>20.87</c:v>
                </c:pt>
                <c:pt idx="1">
                  <c:v>62.44</c:v>
                </c:pt>
                <c:pt idx="2">
                  <c:v>6.96</c:v>
                </c:pt>
                <c:pt idx="3">
                  <c:v>9.1199999999999992</c:v>
                </c:pt>
                <c:pt idx="4">
                  <c:v>0.62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Munka1!$F$2:$F$6</c:f>
              <c:numCache>
                <c:formatCode>General</c:formatCode>
                <c:ptCount val="5"/>
                <c:pt idx="0">
                  <c:v>21.58</c:v>
                </c:pt>
                <c:pt idx="1">
                  <c:v>61.7</c:v>
                </c:pt>
                <c:pt idx="2">
                  <c:v>7.6</c:v>
                </c:pt>
                <c:pt idx="3">
                  <c:v>8.51</c:v>
                </c:pt>
                <c:pt idx="4">
                  <c:v>0.61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Munka1!$G$2:$G$6</c:f>
              <c:numCache>
                <c:formatCode>General</c:formatCode>
                <c:ptCount val="5"/>
                <c:pt idx="0">
                  <c:v>14.15</c:v>
                </c:pt>
                <c:pt idx="1">
                  <c:v>60.2</c:v>
                </c:pt>
                <c:pt idx="2">
                  <c:v>11.69</c:v>
                </c:pt>
                <c:pt idx="3">
                  <c:v>13.54</c:v>
                </c:pt>
                <c:pt idx="4">
                  <c:v>0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Munka1!$H$2:$H$6</c:f>
              <c:numCache>
                <c:formatCode>General</c:formatCode>
                <c:ptCount val="5"/>
                <c:pt idx="0">
                  <c:v>24.18</c:v>
                </c:pt>
                <c:pt idx="1">
                  <c:v>55.23</c:v>
                </c:pt>
                <c:pt idx="2">
                  <c:v>10.46</c:v>
                </c:pt>
                <c:pt idx="3">
                  <c:v>9.15</c:v>
                </c:pt>
                <c:pt idx="4">
                  <c:v>0.98</c:v>
                </c:pt>
              </c:numCache>
            </c:numRef>
          </c:val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Korszerű és bőséges a választék.</c:v>
                </c:pt>
                <c:pt idx="1">
                  <c:v>Megfelelő.</c:v>
                </c:pt>
                <c:pt idx="2">
                  <c:v>Elavult a képzési kínálat.</c:v>
                </c:pt>
                <c:pt idx="3">
                  <c:v>Kevés a választási lehetőség.</c:v>
                </c:pt>
                <c:pt idx="4">
                  <c:v>Nem válaszolt.</c:v>
                </c:pt>
              </c:strCache>
            </c:strRef>
          </c:cat>
          <c:val>
            <c:numRef>
              <c:f>Munka1!$I$2:$I$6</c:f>
              <c:numCache>
                <c:formatCode>General</c:formatCode>
                <c:ptCount val="5"/>
                <c:pt idx="0">
                  <c:v>20.399999999999999</c:v>
                </c:pt>
                <c:pt idx="1">
                  <c:v>59.19</c:v>
                </c:pt>
                <c:pt idx="2">
                  <c:v>9.07</c:v>
                </c:pt>
                <c:pt idx="3">
                  <c:v>11.34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461808"/>
        <c:axId val="399462200"/>
      </c:barChart>
      <c:catAx>
        <c:axId val="399461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99462200"/>
        <c:crosses val="autoZero"/>
        <c:auto val="1"/>
        <c:lblAlgn val="ctr"/>
        <c:lblOffset val="100"/>
        <c:noMultiLvlLbl val="0"/>
      </c:catAx>
      <c:valAx>
        <c:axId val="399462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399461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Milyen mértékben elégedett a Neptun rendszer működésével?</a:t>
            </a:r>
          </a:p>
          <a:p>
            <a:pPr>
              <a:defRPr/>
            </a:pPr>
            <a:r>
              <a:rPr lang="hu-HU" sz="1400"/>
              <a:t>[%]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54.15</c:v>
                </c:pt>
                <c:pt idx="1">
                  <c:v>24.31</c:v>
                </c:pt>
                <c:pt idx="2">
                  <c:v>19.690000000000001</c:v>
                </c:pt>
                <c:pt idx="3">
                  <c:v>1.54</c:v>
                </c:pt>
                <c:pt idx="4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  <c:pt idx="0">
                  <c:v>58.35</c:v>
                </c:pt>
                <c:pt idx="1">
                  <c:v>22.94</c:v>
                </c:pt>
                <c:pt idx="2">
                  <c:v>16.71</c:v>
                </c:pt>
                <c:pt idx="3">
                  <c:v>2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  <c:pt idx="0">
                  <c:v>52.66</c:v>
                </c:pt>
                <c:pt idx="1">
                  <c:v>23.57</c:v>
                </c:pt>
                <c:pt idx="2">
                  <c:v>18.649999999999999</c:v>
                </c:pt>
                <c:pt idx="3">
                  <c:v>3.69</c:v>
                </c:pt>
                <c:pt idx="4">
                  <c:v>1.43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Munka1!$E$2:$E$6</c:f>
              <c:numCache>
                <c:formatCode>General</c:formatCode>
                <c:ptCount val="5"/>
                <c:pt idx="0">
                  <c:v>34.93</c:v>
                </c:pt>
                <c:pt idx="1">
                  <c:v>22.72</c:v>
                </c:pt>
                <c:pt idx="2">
                  <c:v>30.91</c:v>
                </c:pt>
                <c:pt idx="3">
                  <c:v>10.36</c:v>
                </c:pt>
                <c:pt idx="4">
                  <c:v>1.08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Munka1!$F$2:$F$6</c:f>
              <c:numCache>
                <c:formatCode>General</c:formatCode>
                <c:ptCount val="5"/>
                <c:pt idx="0">
                  <c:v>31.91</c:v>
                </c:pt>
                <c:pt idx="1">
                  <c:v>24.62</c:v>
                </c:pt>
                <c:pt idx="2">
                  <c:v>32.520000000000003</c:v>
                </c:pt>
                <c:pt idx="3">
                  <c:v>10.64</c:v>
                </c:pt>
                <c:pt idx="4">
                  <c:v>0.3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Munka1!$G$2:$G$6</c:f>
              <c:numCache>
                <c:formatCode>General</c:formatCode>
                <c:ptCount val="5"/>
                <c:pt idx="0">
                  <c:v>27.38</c:v>
                </c:pt>
                <c:pt idx="1">
                  <c:v>25.23</c:v>
                </c:pt>
                <c:pt idx="2">
                  <c:v>39.08</c:v>
                </c:pt>
                <c:pt idx="3">
                  <c:v>8.31</c:v>
                </c:pt>
                <c:pt idx="4">
                  <c:v>0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Munka1!$H$2:$H$6</c:f>
              <c:numCache>
                <c:formatCode>General</c:formatCode>
                <c:ptCount val="5"/>
                <c:pt idx="0">
                  <c:v>36.93</c:v>
                </c:pt>
                <c:pt idx="1">
                  <c:v>19.93</c:v>
                </c:pt>
                <c:pt idx="2">
                  <c:v>30.39</c:v>
                </c:pt>
                <c:pt idx="3">
                  <c:v>12.42</c:v>
                </c:pt>
                <c:pt idx="4">
                  <c:v>0.33</c:v>
                </c:pt>
              </c:numCache>
            </c:numRef>
          </c:val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Teljes mértékben.</c:v>
                </c:pt>
                <c:pt idx="1">
                  <c:v>Nehezen kezelhető, de alapvetően betölti funkcióját.</c:v>
                </c:pt>
                <c:pt idx="2">
                  <c:v>Javításra szorul a rendszer.</c:v>
                </c:pt>
                <c:pt idx="3">
                  <c:v>Nem megfelelő a rendszer.</c:v>
                </c:pt>
                <c:pt idx="4">
                  <c:v>Nem válaszolt.</c:v>
                </c:pt>
              </c:strCache>
            </c:strRef>
          </c:cat>
          <c:val>
            <c:numRef>
              <c:f>Munka1!$I$2:$I$6</c:f>
              <c:numCache>
                <c:formatCode>General</c:formatCode>
                <c:ptCount val="5"/>
                <c:pt idx="0">
                  <c:v>33</c:v>
                </c:pt>
                <c:pt idx="1">
                  <c:v>33.25</c:v>
                </c:pt>
                <c:pt idx="2">
                  <c:v>27.1</c:v>
                </c:pt>
                <c:pt idx="3">
                  <c:v>6.05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463376"/>
        <c:axId val="507086232"/>
      </c:barChart>
      <c:catAx>
        <c:axId val="399463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7086232"/>
        <c:crosses val="autoZero"/>
        <c:auto val="1"/>
        <c:lblAlgn val="ctr"/>
        <c:lblOffset val="100"/>
        <c:noMultiLvlLbl val="0"/>
      </c:catAx>
      <c:valAx>
        <c:axId val="507086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9463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A támogatások elosztási rendszer</a:t>
            </a:r>
            <a:r>
              <a:rPr lang="hu-HU" sz="1400"/>
              <a:t>ének megítélése</a:t>
            </a:r>
          </a:p>
          <a:p>
            <a:pPr>
              <a:defRPr/>
            </a:pPr>
            <a:r>
              <a:rPr lang="en-US" sz="1200"/>
              <a:t>(</a:t>
            </a:r>
            <a:r>
              <a:rPr lang="hu-HU" sz="1200"/>
              <a:t>1-6-ig terjedő skála, ahol </a:t>
            </a:r>
            <a:r>
              <a:rPr lang="en-US" sz="1200"/>
              <a:t>1=</a:t>
            </a:r>
            <a:r>
              <a:rPr lang="hu-HU" sz="1200"/>
              <a:t>n</a:t>
            </a:r>
            <a:r>
              <a:rPr lang="en-US" sz="1200"/>
              <a:t>em tart</a:t>
            </a:r>
            <a:r>
              <a:rPr lang="hu-HU" sz="1200"/>
              <a:t>ja</a:t>
            </a:r>
            <a:r>
              <a:rPr lang="en-US" sz="1200"/>
              <a:t> igazságosnak, 6=</a:t>
            </a:r>
            <a:r>
              <a:rPr lang="hu-HU" sz="1200"/>
              <a:t>t</a:t>
            </a:r>
            <a:r>
              <a:rPr lang="en-US" sz="1200"/>
              <a:t>eljes mértékben igazságosnak tart</a:t>
            </a:r>
            <a:r>
              <a:rPr lang="hu-HU" sz="1200"/>
              <a:t>ja</a:t>
            </a:r>
            <a:r>
              <a:rPr lang="en-US" sz="1200"/>
              <a:t>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Munka1!$B$2:$B$3</c:f>
              <c:numCache>
                <c:formatCode>General</c:formatCode>
                <c:ptCount val="2"/>
                <c:pt idx="0">
                  <c:v>3.6</c:v>
                </c:pt>
                <c:pt idx="1">
                  <c:v>3.42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Munka1!$C$2:$C$3</c:f>
              <c:numCache>
                <c:formatCode>General</c:formatCode>
                <c:ptCount val="2"/>
                <c:pt idx="0">
                  <c:v>3.53</c:v>
                </c:pt>
                <c:pt idx="1">
                  <c:v>3.6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Munka1!$D$2:$D$3</c:f>
              <c:numCache>
                <c:formatCode>General</c:formatCode>
                <c:ptCount val="2"/>
                <c:pt idx="0">
                  <c:v>3.3</c:v>
                </c:pt>
                <c:pt idx="1">
                  <c:v>3.47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Munka1!$E$2:$E$3</c:f>
              <c:numCache>
                <c:formatCode>General</c:formatCode>
                <c:ptCount val="2"/>
                <c:pt idx="0">
                  <c:v>3.49</c:v>
                </c:pt>
                <c:pt idx="1">
                  <c:v>3.62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Munka1!$F$2:$F$3</c:f>
              <c:numCache>
                <c:formatCode>General</c:formatCode>
                <c:ptCount val="2"/>
                <c:pt idx="0">
                  <c:v>3.36</c:v>
                </c:pt>
                <c:pt idx="1">
                  <c:v>3.56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Munka1!$G$2:$G$3</c:f>
              <c:numCache>
                <c:formatCode>General</c:formatCode>
                <c:ptCount val="2"/>
                <c:pt idx="0">
                  <c:v>3.19</c:v>
                </c:pt>
                <c:pt idx="1">
                  <c:v>3.15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Munka1!$H$2:$H$3</c:f>
              <c:numCache>
                <c:formatCode>General</c:formatCode>
                <c:ptCount val="2"/>
                <c:pt idx="0">
                  <c:v>3.48</c:v>
                </c:pt>
                <c:pt idx="1">
                  <c:v>3.6</c:v>
                </c:pt>
              </c:numCache>
            </c:numRef>
          </c:val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Munka1!$A$2:$A$3</c:f>
              <c:strCache>
                <c:ptCount val="2"/>
                <c:pt idx="0">
                  <c:v>Szociális és jóléti juttatások</c:v>
                </c:pt>
                <c:pt idx="1">
                  <c:v>Tanulmányi ösztöndíjak rendszere</c:v>
                </c:pt>
              </c:strCache>
            </c:strRef>
          </c:cat>
          <c:val>
            <c:numRef>
              <c:f>Munka1!$I$2:$I$3</c:f>
              <c:numCache>
                <c:formatCode>General</c:formatCode>
                <c:ptCount val="2"/>
                <c:pt idx="0">
                  <c:v>3.44</c:v>
                </c:pt>
                <c:pt idx="1">
                  <c:v>3.31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087408"/>
        <c:axId val="507087800"/>
      </c:barChart>
      <c:catAx>
        <c:axId val="507087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7087800"/>
        <c:crosses val="autoZero"/>
        <c:auto val="1"/>
        <c:lblAlgn val="ctr"/>
        <c:lblOffset val="100"/>
        <c:noMultiLvlLbl val="0"/>
      </c:catAx>
      <c:valAx>
        <c:axId val="507087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507087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A HÖT tevékenység</a:t>
            </a:r>
            <a:r>
              <a:rPr lang="hu-HU" sz="1400"/>
              <a:t>ének megítélése</a:t>
            </a:r>
          </a:p>
          <a:p>
            <a:pPr>
              <a:defRPr/>
            </a:pPr>
            <a:r>
              <a:rPr lang="hu-HU" sz="1400"/>
              <a:t>[%]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24.62</c:v>
                </c:pt>
                <c:pt idx="1">
                  <c:v>30.46</c:v>
                </c:pt>
                <c:pt idx="2">
                  <c:v>10.15</c:v>
                </c:pt>
                <c:pt idx="3">
                  <c:v>29.54</c:v>
                </c:pt>
                <c:pt idx="4">
                  <c:v>5.23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Munka1!$C$2:$C$6</c:f>
              <c:numCache>
                <c:formatCode>General</c:formatCode>
                <c:ptCount val="5"/>
                <c:pt idx="0">
                  <c:v>22.42</c:v>
                </c:pt>
                <c:pt idx="1">
                  <c:v>33.51</c:v>
                </c:pt>
                <c:pt idx="2">
                  <c:v>12.63</c:v>
                </c:pt>
                <c:pt idx="3">
                  <c:v>31.44</c:v>
                </c:pt>
                <c:pt idx="4">
                  <c:v>3.87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Munka1!$D$2:$D$6</c:f>
              <c:numCache>
                <c:formatCode>General</c:formatCode>
                <c:ptCount val="5"/>
                <c:pt idx="0">
                  <c:v>19.059999999999999</c:v>
                </c:pt>
                <c:pt idx="1">
                  <c:v>23.16</c:v>
                </c:pt>
                <c:pt idx="2">
                  <c:v>10.86</c:v>
                </c:pt>
                <c:pt idx="3">
                  <c:v>42.62</c:v>
                </c:pt>
                <c:pt idx="4">
                  <c:v>4.3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Munka1!$E$2:$E$6</c:f>
              <c:numCache>
                <c:formatCode>General</c:formatCode>
                <c:ptCount val="5"/>
                <c:pt idx="0">
                  <c:v>20.71</c:v>
                </c:pt>
                <c:pt idx="1">
                  <c:v>27.51</c:v>
                </c:pt>
                <c:pt idx="2">
                  <c:v>15.46</c:v>
                </c:pt>
                <c:pt idx="3">
                  <c:v>34.47</c:v>
                </c:pt>
                <c:pt idx="4">
                  <c:v>1.85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Munka1!$F$2:$F$6</c:f>
              <c:numCache>
                <c:formatCode>General</c:formatCode>
                <c:ptCount val="5"/>
                <c:pt idx="0">
                  <c:v>25.53</c:v>
                </c:pt>
                <c:pt idx="1">
                  <c:v>27.66</c:v>
                </c:pt>
                <c:pt idx="2">
                  <c:v>14.29</c:v>
                </c:pt>
                <c:pt idx="3">
                  <c:v>30.09</c:v>
                </c:pt>
                <c:pt idx="4">
                  <c:v>2.4300000000000002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Munka1!$G$2:$G$6</c:f>
              <c:numCache>
                <c:formatCode>General</c:formatCode>
                <c:ptCount val="5"/>
                <c:pt idx="0">
                  <c:v>14.15</c:v>
                </c:pt>
                <c:pt idx="1">
                  <c:v>35.69</c:v>
                </c:pt>
                <c:pt idx="2">
                  <c:v>22.15</c:v>
                </c:pt>
                <c:pt idx="3">
                  <c:v>26.77</c:v>
                </c:pt>
                <c:pt idx="4">
                  <c:v>1.23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Munka1!$H$2:$H$6</c:f>
              <c:numCache>
                <c:formatCode>General</c:formatCode>
                <c:ptCount val="5"/>
                <c:pt idx="0">
                  <c:v>23.2</c:v>
                </c:pt>
                <c:pt idx="1">
                  <c:v>28.43</c:v>
                </c:pt>
                <c:pt idx="2">
                  <c:v>12.75</c:v>
                </c:pt>
                <c:pt idx="3">
                  <c:v>33.99</c:v>
                </c:pt>
                <c:pt idx="4">
                  <c:v>1.63</c:v>
                </c:pt>
              </c:numCache>
            </c:numRef>
          </c:val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Munka1!$A$2:$A$6</c:f>
              <c:strCache>
                <c:ptCount val="5"/>
                <c:pt idx="0">
                  <c:v>Hatékonyan képviseli a hallgatói érdekeket.</c:v>
                </c:pt>
                <c:pt idx="1">
                  <c:v>Csak bizonyos ügyekben hatékony, egyébként nem veszi figyelembe a hallgatók problémáit, kérdéseit.</c:v>
                </c:pt>
                <c:pt idx="2">
                  <c:v>Nem megfelelően működik.</c:v>
                </c:pt>
                <c:pt idx="3">
                  <c:v>Nem ismeri a tevékenységüket.</c:v>
                </c:pt>
                <c:pt idx="4">
                  <c:v>Nem válaszolt.</c:v>
                </c:pt>
              </c:strCache>
            </c:strRef>
          </c:cat>
          <c:val>
            <c:numRef>
              <c:f>Munka1!$I$2:$I$6</c:f>
              <c:numCache>
                <c:formatCode>General</c:formatCode>
                <c:ptCount val="5"/>
                <c:pt idx="0">
                  <c:v>21.66</c:v>
                </c:pt>
                <c:pt idx="1">
                  <c:v>32.24</c:v>
                </c:pt>
                <c:pt idx="2">
                  <c:v>13.6</c:v>
                </c:pt>
                <c:pt idx="3">
                  <c:v>30.98</c:v>
                </c:pt>
                <c:pt idx="4">
                  <c:v>1.51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912768"/>
        <c:axId val="468913160"/>
      </c:barChart>
      <c:catAx>
        <c:axId val="468912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68913160"/>
        <c:crosses val="autoZero"/>
        <c:auto val="1"/>
        <c:lblAlgn val="ctr"/>
        <c:lblOffset val="100"/>
        <c:noMultiLvlLbl val="0"/>
      </c:catAx>
      <c:valAx>
        <c:axId val="468913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68912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Hazai és külföldi ösztöndíjlehetőségek megítélése (2014-2018)</a:t>
            </a:r>
          </a:p>
          <a:p>
            <a:pPr>
              <a:defRPr sz="1400"/>
            </a:pPr>
            <a:r>
              <a:rPr lang="hu-HU" sz="1400"/>
              <a:t>[%]</a:t>
            </a:r>
            <a:endParaRPr lang="en-US" sz="1400"/>
          </a:p>
        </c:rich>
      </c:tx>
      <c:layout>
        <c:manualLayout>
          <c:xMode val="edge"/>
          <c:yMode val="edge"/>
          <c:x val="0.18196961743418436"/>
          <c:y val="1.673640167364016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29.52</c:v>
                </c:pt>
                <c:pt idx="1">
                  <c:v>35.24</c:v>
                </c:pt>
                <c:pt idx="2">
                  <c:v>33.85</c:v>
                </c:pt>
                <c:pt idx="3">
                  <c:v>1.39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25.53</c:v>
                </c:pt>
                <c:pt idx="1">
                  <c:v>44.07</c:v>
                </c:pt>
                <c:pt idx="2">
                  <c:v>28.57</c:v>
                </c:pt>
                <c:pt idx="3">
                  <c:v>1.82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21.23</c:v>
                </c:pt>
                <c:pt idx="1">
                  <c:v>49.54</c:v>
                </c:pt>
                <c:pt idx="2">
                  <c:v>28</c:v>
                </c:pt>
                <c:pt idx="3">
                  <c:v>1.23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Munka1!$E$2:$E$5</c:f>
              <c:numCache>
                <c:formatCode>General</c:formatCode>
                <c:ptCount val="4"/>
                <c:pt idx="0">
                  <c:v>33.659999999999997</c:v>
                </c:pt>
                <c:pt idx="1">
                  <c:v>36.93</c:v>
                </c:pt>
                <c:pt idx="2">
                  <c:v>27.12</c:v>
                </c:pt>
                <c:pt idx="3">
                  <c:v>2.29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Teljes mértékben elégedett a lehetőségekkel</c:v>
                </c:pt>
                <c:pt idx="1">
                  <c:v>Kevés hallgató számára biztosítanak lehetőséget</c:v>
                </c:pt>
                <c:pt idx="2">
                  <c:v>Számára nem elérhetők ezek a lehetőségek</c:v>
                </c:pt>
                <c:pt idx="3">
                  <c:v>Nem válaszolt</c:v>
                </c:pt>
              </c:strCache>
            </c:strRef>
          </c:cat>
          <c:val>
            <c:numRef>
              <c:f>Munka1!$F$2:$F$5</c:f>
              <c:numCache>
                <c:formatCode>General</c:formatCode>
                <c:ptCount val="4"/>
                <c:pt idx="0">
                  <c:v>30.98</c:v>
                </c:pt>
                <c:pt idx="1">
                  <c:v>40.049999999999997</c:v>
                </c:pt>
                <c:pt idx="2">
                  <c:v>28.21</c:v>
                </c:pt>
                <c:pt idx="3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9129136"/>
        <c:axId val="509129528"/>
      </c:barChart>
      <c:catAx>
        <c:axId val="509129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9129528"/>
        <c:crosses val="autoZero"/>
        <c:auto val="1"/>
        <c:lblAlgn val="ctr"/>
        <c:lblOffset val="100"/>
        <c:noMultiLvlLbl val="0"/>
      </c:catAx>
      <c:valAx>
        <c:axId val="509129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9129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Bejutási esélyek a kollégiumba és a diákszállóba</a:t>
            </a:r>
            <a:endParaRPr lang="hu-HU" sz="1400"/>
          </a:p>
          <a:p>
            <a:pPr>
              <a:defRPr/>
            </a:pPr>
            <a:r>
              <a:rPr lang="hu-HU" sz="1400"/>
              <a:t>[%]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Könnyű bejutni.</c:v>
                </c:pt>
                <c:pt idx="1">
                  <c:v>Változó.</c:v>
                </c:pt>
                <c:pt idx="2">
                  <c:v>Nehéz bejutni.</c:v>
                </c:pt>
              </c:strCache>
            </c:strRef>
          </c:cat>
          <c:val>
            <c:numRef>
              <c:f>Munka1!$B$2:$B$4</c:f>
              <c:numCache>
                <c:formatCode>General</c:formatCode>
                <c:ptCount val="3"/>
                <c:pt idx="0">
                  <c:v>42.47</c:v>
                </c:pt>
                <c:pt idx="1">
                  <c:v>52.21</c:v>
                </c:pt>
                <c:pt idx="2">
                  <c:v>5.3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Könnyű bejutni.</c:v>
                </c:pt>
                <c:pt idx="1">
                  <c:v>Változó.</c:v>
                </c:pt>
                <c:pt idx="2">
                  <c:v>Nehéz bejutni.</c:v>
                </c:pt>
              </c:strCache>
            </c:strRef>
          </c:cat>
          <c:val>
            <c:numRef>
              <c:f>Munka1!$C$2:$C$4</c:f>
              <c:numCache>
                <c:formatCode>General</c:formatCode>
                <c:ptCount val="3"/>
                <c:pt idx="0">
                  <c:v>44.13</c:v>
                </c:pt>
                <c:pt idx="1">
                  <c:v>51.95</c:v>
                </c:pt>
                <c:pt idx="2">
                  <c:v>3.91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Könnyű bejutni.</c:v>
                </c:pt>
                <c:pt idx="1">
                  <c:v>Változó.</c:v>
                </c:pt>
                <c:pt idx="2">
                  <c:v>Nehéz bejutni.</c:v>
                </c:pt>
              </c:strCache>
            </c:strRef>
          </c:cat>
          <c:val>
            <c:numRef>
              <c:f>Munka1!$D$2:$D$4</c:f>
              <c:numCache>
                <c:formatCode>General</c:formatCode>
                <c:ptCount val="3"/>
                <c:pt idx="0">
                  <c:v>53.33</c:v>
                </c:pt>
                <c:pt idx="1">
                  <c:v>42.66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Könnyű bejutni.</c:v>
                </c:pt>
                <c:pt idx="1">
                  <c:v>Változó.</c:v>
                </c:pt>
                <c:pt idx="2">
                  <c:v>Nehéz bejutni.</c:v>
                </c:pt>
              </c:strCache>
            </c:strRef>
          </c:cat>
          <c:val>
            <c:numRef>
              <c:f>Munka1!$E$2:$E$4</c:f>
              <c:numCache>
                <c:formatCode>General</c:formatCode>
                <c:ptCount val="3"/>
                <c:pt idx="0">
                  <c:v>70.069999999999993</c:v>
                </c:pt>
                <c:pt idx="1">
                  <c:v>23.86</c:v>
                </c:pt>
                <c:pt idx="2">
                  <c:v>6.06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Könnyű bejutni.</c:v>
                </c:pt>
                <c:pt idx="1">
                  <c:v>Változó.</c:v>
                </c:pt>
                <c:pt idx="2">
                  <c:v>Nehéz bejutni.</c:v>
                </c:pt>
              </c:strCache>
            </c:strRef>
          </c:cat>
          <c:val>
            <c:numRef>
              <c:f>Munka1!$F$2:$F$4</c:f>
              <c:numCache>
                <c:formatCode>General</c:formatCode>
                <c:ptCount val="3"/>
                <c:pt idx="0">
                  <c:v>68.180000000000007</c:v>
                </c:pt>
                <c:pt idx="1">
                  <c:v>27.27</c:v>
                </c:pt>
                <c:pt idx="2">
                  <c:v>4.54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Könnyű bejutni.</c:v>
                </c:pt>
                <c:pt idx="1">
                  <c:v>Változó.</c:v>
                </c:pt>
                <c:pt idx="2">
                  <c:v>Nehéz bejutni.</c:v>
                </c:pt>
              </c:strCache>
            </c:strRef>
          </c:cat>
          <c:val>
            <c:numRef>
              <c:f>Munka1!$G$2:$G$4</c:f>
              <c:numCache>
                <c:formatCode>General</c:formatCode>
                <c:ptCount val="3"/>
                <c:pt idx="0">
                  <c:v>69.59</c:v>
                </c:pt>
                <c:pt idx="1">
                  <c:v>28.37</c:v>
                </c:pt>
                <c:pt idx="2">
                  <c:v>2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Könnyű bejutni.</c:v>
                </c:pt>
                <c:pt idx="1">
                  <c:v>Változó.</c:v>
                </c:pt>
                <c:pt idx="2">
                  <c:v>Nehéz bejutni.</c:v>
                </c:pt>
              </c:strCache>
            </c:strRef>
          </c:cat>
          <c:val>
            <c:numRef>
              <c:f>Munka1!$H$2:$H$4</c:f>
              <c:numCache>
                <c:formatCode>General</c:formatCode>
                <c:ptCount val="3"/>
                <c:pt idx="0">
                  <c:v>63.28</c:v>
                </c:pt>
                <c:pt idx="1">
                  <c:v>31.25</c:v>
                </c:pt>
                <c:pt idx="2">
                  <c:v>5.46</c:v>
                </c:pt>
              </c:numCache>
            </c:numRef>
          </c:val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Könnyű bejutni.</c:v>
                </c:pt>
                <c:pt idx="1">
                  <c:v>Változó.</c:v>
                </c:pt>
                <c:pt idx="2">
                  <c:v>Nehéz bejutni.</c:v>
                </c:pt>
              </c:strCache>
            </c:strRef>
          </c:cat>
          <c:val>
            <c:numRef>
              <c:f>Munka1!$I$2:$I$4</c:f>
              <c:numCache>
                <c:formatCode>General</c:formatCode>
                <c:ptCount val="3"/>
                <c:pt idx="0">
                  <c:v>61.37</c:v>
                </c:pt>
                <c:pt idx="1">
                  <c:v>33.1</c:v>
                </c:pt>
                <c:pt idx="2">
                  <c:v>5.51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949480"/>
        <c:axId val="507949088"/>
      </c:barChart>
      <c:valAx>
        <c:axId val="507949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7949480"/>
        <c:crosses val="autoZero"/>
        <c:crossBetween val="between"/>
      </c:valAx>
      <c:catAx>
        <c:axId val="507949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794908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A kollégium és diákszálló szobáinak</a:t>
            </a:r>
            <a:r>
              <a:rPr lang="hu-HU" sz="1400" baseline="0"/>
              <a:t> és közös helyiségeinek állapota és felszereltsége</a:t>
            </a:r>
          </a:p>
          <a:p>
            <a:pPr>
              <a:defRPr/>
            </a:pPr>
            <a:r>
              <a:rPr lang="hu-HU" sz="1400" baseline="0"/>
              <a:t>[%]</a:t>
            </a:r>
            <a:endParaRPr lang="hu-H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Munka1!$B$2:$B$4</c:f>
              <c:numCache>
                <c:formatCode>General</c:formatCode>
                <c:ptCount val="3"/>
                <c:pt idx="0">
                  <c:v>54.76</c:v>
                </c:pt>
                <c:pt idx="1">
                  <c:v>42.85</c:v>
                </c:pt>
                <c:pt idx="2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Munka1!$C$2:$C$4</c:f>
              <c:numCache>
                <c:formatCode>General</c:formatCode>
                <c:ptCount val="3"/>
                <c:pt idx="0">
                  <c:v>41.73</c:v>
                </c:pt>
                <c:pt idx="1">
                  <c:v>48.81</c:v>
                </c:pt>
                <c:pt idx="2">
                  <c:v>9.44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Munka1!$D$2:$D$4</c:f>
              <c:numCache>
                <c:formatCode>General</c:formatCode>
                <c:ptCount val="3"/>
                <c:pt idx="0">
                  <c:v>50.31</c:v>
                </c:pt>
                <c:pt idx="1">
                  <c:v>32.909999999999997</c:v>
                </c:pt>
                <c:pt idx="2">
                  <c:v>16.77</c:v>
                </c:pt>
              </c:numCache>
            </c:numRef>
          </c:val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Munka1!$E$2:$E$4</c:f>
              <c:numCache>
                <c:formatCode>General</c:formatCode>
                <c:ptCount val="3"/>
                <c:pt idx="0">
                  <c:v>42.96</c:v>
                </c:pt>
                <c:pt idx="1">
                  <c:v>43.35</c:v>
                </c:pt>
                <c:pt idx="2">
                  <c:v>13.67</c:v>
                </c:pt>
              </c:numCache>
            </c:numRef>
          </c:val>
        </c:ser>
        <c:ser>
          <c:idx val="4"/>
          <c:order val="4"/>
          <c:tx>
            <c:strRef>
              <c:f>Munka1!$F$1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Munka1!$F$2:$F$4</c:f>
              <c:numCache>
                <c:formatCode>General</c:formatCode>
                <c:ptCount val="3"/>
                <c:pt idx="0">
                  <c:v>42.95</c:v>
                </c:pt>
                <c:pt idx="1">
                  <c:v>45.07</c:v>
                </c:pt>
                <c:pt idx="2">
                  <c:v>11.97</c:v>
                </c:pt>
              </c:numCache>
            </c:numRef>
          </c:val>
        </c:ser>
        <c:ser>
          <c:idx val="5"/>
          <c:order val="5"/>
          <c:tx>
            <c:strRef>
              <c:f>Munka1!$G$1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Munka1!$G$2:$G$4</c:f>
              <c:numCache>
                <c:formatCode>General</c:formatCode>
                <c:ptCount val="3"/>
                <c:pt idx="0">
                  <c:v>52.73</c:v>
                </c:pt>
                <c:pt idx="1">
                  <c:v>36.299999999999997</c:v>
                </c:pt>
                <c:pt idx="2">
                  <c:v>10.95</c:v>
                </c:pt>
              </c:numCache>
            </c:numRef>
          </c:val>
        </c:ser>
        <c:ser>
          <c:idx val="6"/>
          <c:order val="6"/>
          <c:tx>
            <c:strRef>
              <c:f>Munka1!$H$1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Munka1!$H$2:$H$4</c:f>
              <c:numCache>
                <c:formatCode>General</c:formatCode>
                <c:ptCount val="3"/>
                <c:pt idx="0">
                  <c:v>46.26</c:v>
                </c:pt>
                <c:pt idx="1">
                  <c:v>37.31</c:v>
                </c:pt>
                <c:pt idx="2">
                  <c:v>16.41</c:v>
                </c:pt>
              </c:numCache>
            </c:numRef>
          </c:val>
        </c:ser>
        <c:ser>
          <c:idx val="7"/>
          <c:order val="7"/>
          <c:tx>
            <c:strRef>
              <c:f>Munka1!$I$1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Munka1!$A$2:$A$4</c:f>
              <c:strCache>
                <c:ptCount val="3"/>
                <c:pt idx="0">
                  <c:v>Teljesen elégedett</c:v>
                </c:pt>
                <c:pt idx="1">
                  <c:v>Részben elégedett</c:v>
                </c:pt>
                <c:pt idx="2">
                  <c:v>Nem tartja megfelelőnek</c:v>
                </c:pt>
              </c:strCache>
            </c:strRef>
          </c:cat>
          <c:val>
            <c:numRef>
              <c:f>Munka1!$I$2:$I$4</c:f>
              <c:numCache>
                <c:formatCode>General</c:formatCode>
                <c:ptCount val="3"/>
                <c:pt idx="0">
                  <c:v>42.16</c:v>
                </c:pt>
                <c:pt idx="1">
                  <c:v>38.549999999999997</c:v>
                </c:pt>
                <c:pt idx="2">
                  <c:v>19.27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7950656"/>
        <c:axId val="509220920"/>
      </c:barChart>
      <c:catAx>
        <c:axId val="507950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09220920"/>
        <c:crosses val="autoZero"/>
        <c:auto val="1"/>
        <c:lblAlgn val="ctr"/>
        <c:lblOffset val="100"/>
        <c:noMultiLvlLbl val="0"/>
      </c:catAx>
      <c:valAx>
        <c:axId val="509220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79506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 Ildikó</dc:creator>
  <cp:lastModifiedBy>Huba Ildikó</cp:lastModifiedBy>
  <cp:revision>4</cp:revision>
  <cp:lastPrinted>2018-01-23T13:22:00Z</cp:lastPrinted>
  <dcterms:created xsi:type="dcterms:W3CDTF">2018-12-18T09:04:00Z</dcterms:created>
  <dcterms:modified xsi:type="dcterms:W3CDTF">2018-12-18T10:10:00Z</dcterms:modified>
</cp:coreProperties>
</file>