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10" w:rsidRDefault="00004E10" w:rsidP="00B307DD">
      <w:pPr>
        <w:jc w:val="center"/>
        <w:rPr>
          <w:noProof/>
        </w:rPr>
      </w:pPr>
    </w:p>
    <w:p w:rsidR="00004E10" w:rsidRDefault="00716612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drawing>
          <wp:inline distT="0" distB="0" distL="0" distR="0" wp14:anchorId="50FF61FA">
            <wp:extent cx="1908175" cy="171894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E10" w:rsidRDefault="00004E10" w:rsidP="00B307DD">
      <w:pPr>
        <w:jc w:val="center"/>
        <w:rPr>
          <w:noProof/>
          <w:sz w:val="52"/>
          <w:szCs w:val="52"/>
        </w:rPr>
      </w:pPr>
    </w:p>
    <w:p w:rsidR="00620F21" w:rsidRPr="00620F21" w:rsidRDefault="00004E10" w:rsidP="00620F21">
      <w:pPr>
        <w:jc w:val="center"/>
        <w:rPr>
          <w:noProof/>
          <w:sz w:val="52"/>
          <w:szCs w:val="52"/>
        </w:rPr>
      </w:pPr>
      <w:r w:rsidRPr="00620F21">
        <w:rPr>
          <w:noProof/>
          <w:sz w:val="52"/>
          <w:szCs w:val="52"/>
        </w:rPr>
        <w:t xml:space="preserve">A </w:t>
      </w:r>
      <w:r w:rsidR="00620F21" w:rsidRPr="00620F21">
        <w:rPr>
          <w:noProof/>
          <w:sz w:val="52"/>
          <w:szCs w:val="52"/>
        </w:rPr>
        <w:t xml:space="preserve">Nyíregyházi </w:t>
      </w:r>
      <w:r w:rsidR="00716612">
        <w:rPr>
          <w:noProof/>
          <w:sz w:val="52"/>
          <w:szCs w:val="52"/>
        </w:rPr>
        <w:t>Egyetem</w:t>
      </w:r>
      <w:r w:rsidR="00620F21" w:rsidRPr="00620F21">
        <w:rPr>
          <w:noProof/>
          <w:sz w:val="52"/>
          <w:szCs w:val="52"/>
        </w:rPr>
        <w:t xml:space="preserve"> dolgozói körében végzett</w:t>
      </w:r>
    </w:p>
    <w:p w:rsidR="00CC7663" w:rsidRPr="00620F21" w:rsidRDefault="00620F21" w:rsidP="00620F21">
      <w:pPr>
        <w:jc w:val="center"/>
        <w:rPr>
          <w:noProof/>
          <w:sz w:val="52"/>
          <w:szCs w:val="52"/>
        </w:rPr>
      </w:pPr>
      <w:r w:rsidRPr="00620F21">
        <w:rPr>
          <w:noProof/>
          <w:sz w:val="52"/>
          <w:szCs w:val="52"/>
        </w:rPr>
        <w:t>elégedettségmérés</w:t>
      </w:r>
      <w:r>
        <w:rPr>
          <w:noProof/>
          <w:sz w:val="52"/>
          <w:szCs w:val="52"/>
        </w:rPr>
        <w:t>ek</w:t>
      </w:r>
      <w:r w:rsidRPr="00620F21">
        <w:rPr>
          <w:noProof/>
          <w:sz w:val="52"/>
          <w:szCs w:val="52"/>
        </w:rPr>
        <w:t xml:space="preserve"> eredményei</w:t>
      </w:r>
    </w:p>
    <w:p w:rsidR="00004E10" w:rsidRPr="00620F21" w:rsidRDefault="00655DEB" w:rsidP="00B307DD">
      <w:pPr>
        <w:jc w:val="center"/>
        <w:rPr>
          <w:noProof/>
          <w:sz w:val="44"/>
          <w:szCs w:val="44"/>
        </w:rPr>
      </w:pPr>
      <w:r w:rsidRPr="00620F21">
        <w:rPr>
          <w:noProof/>
          <w:sz w:val="44"/>
          <w:szCs w:val="44"/>
        </w:rPr>
        <w:t>2011 – 2013</w:t>
      </w:r>
      <w:r w:rsidR="00647EB0" w:rsidRPr="00620F21">
        <w:rPr>
          <w:noProof/>
          <w:sz w:val="44"/>
          <w:szCs w:val="44"/>
        </w:rPr>
        <w:t xml:space="preserve"> – 2014</w:t>
      </w:r>
      <w:r w:rsidR="00601763">
        <w:rPr>
          <w:noProof/>
          <w:sz w:val="44"/>
          <w:szCs w:val="44"/>
        </w:rPr>
        <w:t xml:space="preserve"> – 2015</w:t>
      </w:r>
      <w:r w:rsidR="00CF77D6">
        <w:rPr>
          <w:noProof/>
          <w:sz w:val="44"/>
          <w:szCs w:val="44"/>
        </w:rPr>
        <w:t xml:space="preserve"> – 2016 – 2017</w:t>
      </w:r>
      <w:r w:rsidR="00972E0D">
        <w:rPr>
          <w:noProof/>
          <w:sz w:val="44"/>
          <w:szCs w:val="44"/>
        </w:rPr>
        <w:t xml:space="preserve"> </w:t>
      </w:r>
      <w:r w:rsidR="0083399B">
        <w:rPr>
          <w:noProof/>
          <w:sz w:val="44"/>
          <w:szCs w:val="44"/>
        </w:rPr>
        <w:t>– 2018</w:t>
      </w:r>
    </w:p>
    <w:p w:rsidR="00004E10" w:rsidRDefault="00004E10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br w:type="page"/>
      </w:r>
    </w:p>
    <w:p w:rsidR="00004E10" w:rsidRDefault="00004E10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lastRenderedPageBreak/>
        <w:drawing>
          <wp:inline distT="0" distB="0" distL="0" distR="0">
            <wp:extent cx="7524750" cy="6534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4E10" w:rsidRDefault="00004E10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lastRenderedPageBreak/>
        <w:drawing>
          <wp:inline distT="0" distB="0" distL="0" distR="0">
            <wp:extent cx="9906000" cy="56007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4E10" w:rsidRDefault="003032F6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lastRenderedPageBreak/>
        <w:drawing>
          <wp:inline distT="0" distB="0" distL="0" distR="0">
            <wp:extent cx="9458325" cy="662940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4E10" w:rsidRDefault="00A51C52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lastRenderedPageBreak/>
        <w:drawing>
          <wp:inline distT="0" distB="0" distL="0" distR="0">
            <wp:extent cx="8810625" cy="5495925"/>
            <wp:effectExtent l="0" t="0" r="9525" b="952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4E10" w:rsidRDefault="00B307DD" w:rsidP="00B307DD">
      <w:pPr>
        <w:tabs>
          <w:tab w:val="left" w:pos="8355"/>
        </w:tabs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lastRenderedPageBreak/>
        <w:drawing>
          <wp:inline distT="0" distB="0" distL="0" distR="0">
            <wp:extent cx="8567530" cy="5248275"/>
            <wp:effectExtent l="0" t="0" r="5080" b="952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4E10" w:rsidRDefault="00004E10" w:rsidP="00B307DD">
      <w:pPr>
        <w:jc w:val="center"/>
        <w:rPr>
          <w:noProof/>
          <w:sz w:val="52"/>
          <w:szCs w:val="52"/>
        </w:rPr>
      </w:pPr>
    </w:p>
    <w:p w:rsidR="00B307DD" w:rsidRDefault="00B307DD" w:rsidP="00B307DD">
      <w:pPr>
        <w:jc w:val="center"/>
        <w:rPr>
          <w:noProof/>
          <w:sz w:val="52"/>
          <w:szCs w:val="52"/>
        </w:rPr>
      </w:pPr>
    </w:p>
    <w:p w:rsidR="00B307DD" w:rsidRDefault="00B307DD" w:rsidP="00B307DD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  <w:lang w:eastAsia="hu-HU"/>
        </w:rPr>
        <w:lastRenderedPageBreak/>
        <w:drawing>
          <wp:inline distT="0" distB="0" distL="0" distR="0">
            <wp:extent cx="7591425" cy="6229350"/>
            <wp:effectExtent l="0" t="0" r="9525" b="1905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004E10" w:rsidRDefault="00004E10" w:rsidP="00B307DD">
      <w:pPr>
        <w:jc w:val="center"/>
        <w:rPr>
          <w:noProof/>
        </w:rPr>
      </w:pPr>
    </w:p>
    <w:sectPr w:rsidR="00004E10" w:rsidSect="00B30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77" w:rsidRDefault="00565777" w:rsidP="00662EE9">
      <w:pPr>
        <w:spacing w:after="0" w:line="240" w:lineRule="auto"/>
      </w:pPr>
      <w:r>
        <w:separator/>
      </w:r>
    </w:p>
  </w:endnote>
  <w:endnote w:type="continuationSeparator" w:id="0">
    <w:p w:rsidR="00565777" w:rsidRDefault="00565777" w:rsidP="0066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77" w:rsidRDefault="00565777" w:rsidP="00662EE9">
      <w:pPr>
        <w:spacing w:after="0" w:line="240" w:lineRule="auto"/>
      </w:pPr>
      <w:r>
        <w:separator/>
      </w:r>
    </w:p>
  </w:footnote>
  <w:footnote w:type="continuationSeparator" w:id="0">
    <w:p w:rsidR="00565777" w:rsidRDefault="00565777" w:rsidP="0066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10"/>
    <w:rsid w:val="00004E10"/>
    <w:rsid w:val="0000688A"/>
    <w:rsid w:val="00017E12"/>
    <w:rsid w:val="00037C3E"/>
    <w:rsid w:val="000513C2"/>
    <w:rsid w:val="000673CD"/>
    <w:rsid w:val="000E03E1"/>
    <w:rsid w:val="000F54C2"/>
    <w:rsid w:val="000F63B7"/>
    <w:rsid w:val="001169CD"/>
    <w:rsid w:val="00196306"/>
    <w:rsid w:val="00201525"/>
    <w:rsid w:val="00202AE4"/>
    <w:rsid w:val="00204929"/>
    <w:rsid w:val="0021370D"/>
    <w:rsid w:val="002612E9"/>
    <w:rsid w:val="0029135F"/>
    <w:rsid w:val="002B6A17"/>
    <w:rsid w:val="002D7F79"/>
    <w:rsid w:val="002F732C"/>
    <w:rsid w:val="003032F6"/>
    <w:rsid w:val="00365D9A"/>
    <w:rsid w:val="00365F39"/>
    <w:rsid w:val="00375C6E"/>
    <w:rsid w:val="00392340"/>
    <w:rsid w:val="003D29AF"/>
    <w:rsid w:val="003E5AF7"/>
    <w:rsid w:val="00445205"/>
    <w:rsid w:val="004A6D9E"/>
    <w:rsid w:val="00503454"/>
    <w:rsid w:val="00565777"/>
    <w:rsid w:val="005F4E10"/>
    <w:rsid w:val="00601763"/>
    <w:rsid w:val="00620F21"/>
    <w:rsid w:val="00647EB0"/>
    <w:rsid w:val="00655DEB"/>
    <w:rsid w:val="00662EE9"/>
    <w:rsid w:val="0069237C"/>
    <w:rsid w:val="006C69BE"/>
    <w:rsid w:val="006D7F4F"/>
    <w:rsid w:val="006F27DA"/>
    <w:rsid w:val="00716612"/>
    <w:rsid w:val="007645D9"/>
    <w:rsid w:val="00786D30"/>
    <w:rsid w:val="00824088"/>
    <w:rsid w:val="00827BA4"/>
    <w:rsid w:val="0083399B"/>
    <w:rsid w:val="00887EF8"/>
    <w:rsid w:val="008B0CE5"/>
    <w:rsid w:val="008D2353"/>
    <w:rsid w:val="00910B5B"/>
    <w:rsid w:val="00916F07"/>
    <w:rsid w:val="00923436"/>
    <w:rsid w:val="00931C56"/>
    <w:rsid w:val="00961D46"/>
    <w:rsid w:val="00972E0D"/>
    <w:rsid w:val="009A2A5A"/>
    <w:rsid w:val="009A3275"/>
    <w:rsid w:val="009D663A"/>
    <w:rsid w:val="009F3847"/>
    <w:rsid w:val="00A014F1"/>
    <w:rsid w:val="00A40DAD"/>
    <w:rsid w:val="00A51C52"/>
    <w:rsid w:val="00A93AC3"/>
    <w:rsid w:val="00AC3A66"/>
    <w:rsid w:val="00B06BA0"/>
    <w:rsid w:val="00B307DD"/>
    <w:rsid w:val="00B62D21"/>
    <w:rsid w:val="00BB17A0"/>
    <w:rsid w:val="00BB26BE"/>
    <w:rsid w:val="00BC76E2"/>
    <w:rsid w:val="00C344F5"/>
    <w:rsid w:val="00C671EB"/>
    <w:rsid w:val="00CA09E8"/>
    <w:rsid w:val="00CA78C4"/>
    <w:rsid w:val="00CC7663"/>
    <w:rsid w:val="00CE5A51"/>
    <w:rsid w:val="00CF77D6"/>
    <w:rsid w:val="00D06A33"/>
    <w:rsid w:val="00D07D8F"/>
    <w:rsid w:val="00D354E8"/>
    <w:rsid w:val="00D757E1"/>
    <w:rsid w:val="00DA47D5"/>
    <w:rsid w:val="00DC4D3F"/>
    <w:rsid w:val="00E074C4"/>
    <w:rsid w:val="00E4229E"/>
    <w:rsid w:val="00E50E20"/>
    <w:rsid w:val="00E51F61"/>
    <w:rsid w:val="00E5204E"/>
    <w:rsid w:val="00E54866"/>
    <w:rsid w:val="00E74986"/>
    <w:rsid w:val="00E7761D"/>
    <w:rsid w:val="00EC33F2"/>
    <w:rsid w:val="00F916B2"/>
    <w:rsid w:val="00FB02B5"/>
    <w:rsid w:val="00FB6C91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C228-F970-4FD7-B8DE-B9B1CFE3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E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E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6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2EE9"/>
  </w:style>
  <w:style w:type="paragraph" w:styleId="llb">
    <w:name w:val="footer"/>
    <w:basedOn w:val="Norml"/>
    <w:link w:val="llbChar"/>
    <w:uiPriority w:val="99"/>
    <w:semiHidden/>
    <w:unhideWhenUsed/>
    <w:rsid w:val="0066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6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 b="1">
                <a:latin typeface="+mn-lt"/>
              </a:rPr>
              <a:t>Hogy érzi magát jelenleg a Nyíregyházi Egyetemen?</a:t>
            </a:r>
          </a:p>
          <a:p>
            <a:pPr>
              <a:defRPr/>
            </a:pPr>
            <a:r>
              <a:rPr lang="hu-HU" b="1"/>
              <a:t>[%]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Nagyon jól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Munka1!$B$1:$H$1</c:f>
              <c:strCache>
                <c:ptCount val="7"/>
                <c:pt idx="0">
                  <c:v>2011.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  <c:pt idx="4">
                  <c:v>2016.</c:v>
                </c:pt>
                <c:pt idx="5">
                  <c:v>2017.</c:v>
                </c:pt>
                <c:pt idx="6">
                  <c:v>2018.</c:v>
                </c:pt>
              </c:strCache>
            </c:strRef>
          </c:cat>
          <c:val>
            <c:numRef>
              <c:f>Munka1!$B$2:$H$2</c:f>
              <c:numCache>
                <c:formatCode>0.00%</c:formatCode>
                <c:ptCount val="7"/>
                <c:pt idx="0">
                  <c:v>0.1321</c:v>
                </c:pt>
                <c:pt idx="1">
                  <c:v>0.1173</c:v>
                </c:pt>
                <c:pt idx="2">
                  <c:v>8.6699999999999999E-2</c:v>
                </c:pt>
                <c:pt idx="3">
                  <c:v>8.6999999999999994E-2</c:v>
                </c:pt>
                <c:pt idx="4">
                  <c:v>6.5600000000000006E-2</c:v>
                </c:pt>
                <c:pt idx="5">
                  <c:v>9.1700000000000004E-2</c:v>
                </c:pt>
                <c:pt idx="6">
                  <c:v>0.10199999999999999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Jól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Munka1!$B$1:$H$1</c:f>
              <c:strCache>
                <c:ptCount val="7"/>
                <c:pt idx="0">
                  <c:v>2011.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  <c:pt idx="4">
                  <c:v>2016.</c:v>
                </c:pt>
                <c:pt idx="5">
                  <c:v>2017.</c:v>
                </c:pt>
                <c:pt idx="6">
                  <c:v>2018.</c:v>
                </c:pt>
              </c:strCache>
            </c:strRef>
          </c:cat>
          <c:val>
            <c:numRef>
              <c:f>Munka1!$B$3:$H$3</c:f>
              <c:numCache>
                <c:formatCode>0.00%</c:formatCode>
                <c:ptCount val="7"/>
                <c:pt idx="0">
                  <c:v>0.3962</c:v>
                </c:pt>
                <c:pt idx="1">
                  <c:v>0.30609999999999998</c:v>
                </c:pt>
                <c:pt idx="2">
                  <c:v>0.38269999999999998</c:v>
                </c:pt>
                <c:pt idx="3">
                  <c:v>0.31680000000000003</c:v>
                </c:pt>
                <c:pt idx="4">
                  <c:v>0.33610000000000001</c:v>
                </c:pt>
                <c:pt idx="5">
                  <c:v>0.30830000000000002</c:v>
                </c:pt>
                <c:pt idx="6">
                  <c:v>0.30609999999999998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Megfelelően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Munka1!$B$1:$H$1</c:f>
              <c:strCache>
                <c:ptCount val="7"/>
                <c:pt idx="0">
                  <c:v>2011.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  <c:pt idx="4">
                  <c:v>2016.</c:v>
                </c:pt>
                <c:pt idx="5">
                  <c:v>2017.</c:v>
                </c:pt>
                <c:pt idx="6">
                  <c:v>2018.</c:v>
                </c:pt>
              </c:strCache>
            </c:strRef>
          </c:cat>
          <c:val>
            <c:numRef>
              <c:f>Munka1!$B$4:$H$4</c:f>
              <c:numCache>
                <c:formatCode>0.00%</c:formatCode>
                <c:ptCount val="7"/>
                <c:pt idx="0">
                  <c:v>0.32700000000000001</c:v>
                </c:pt>
                <c:pt idx="1">
                  <c:v>0.4541</c:v>
                </c:pt>
                <c:pt idx="2">
                  <c:v>0.35199999999999998</c:v>
                </c:pt>
                <c:pt idx="3">
                  <c:v>0.3851</c:v>
                </c:pt>
                <c:pt idx="4">
                  <c:v>0.33610000000000001</c:v>
                </c:pt>
                <c:pt idx="5">
                  <c:v>0.31669999999999998</c:v>
                </c:pt>
                <c:pt idx="6">
                  <c:v>0.25509999999999999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Rosszul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Munka1!$B$1:$H$1</c:f>
              <c:strCache>
                <c:ptCount val="7"/>
                <c:pt idx="0">
                  <c:v>2011.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  <c:pt idx="4">
                  <c:v>2016.</c:v>
                </c:pt>
                <c:pt idx="5">
                  <c:v>2017.</c:v>
                </c:pt>
                <c:pt idx="6">
                  <c:v>2018.</c:v>
                </c:pt>
              </c:strCache>
            </c:strRef>
          </c:cat>
          <c:val>
            <c:numRef>
              <c:f>Munka1!$B$5:$H$5</c:f>
              <c:numCache>
                <c:formatCode>0.00%</c:formatCode>
                <c:ptCount val="7"/>
                <c:pt idx="0">
                  <c:v>8.8099999999999998E-2</c:v>
                </c:pt>
                <c:pt idx="1">
                  <c:v>0.10199999999999999</c:v>
                </c:pt>
                <c:pt idx="2">
                  <c:v>0.14799999999999999</c:v>
                </c:pt>
                <c:pt idx="3">
                  <c:v>0.1925</c:v>
                </c:pt>
                <c:pt idx="4">
                  <c:v>0.1885</c:v>
                </c:pt>
                <c:pt idx="5">
                  <c:v>0.22500000000000001</c:v>
                </c:pt>
                <c:pt idx="6">
                  <c:v>0.26529999999999998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Nagyon rosszul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Munka1!$B$1:$H$1</c:f>
              <c:strCache>
                <c:ptCount val="7"/>
                <c:pt idx="0">
                  <c:v>2011.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  <c:pt idx="4">
                  <c:v>2016.</c:v>
                </c:pt>
                <c:pt idx="5">
                  <c:v>2017.</c:v>
                </c:pt>
                <c:pt idx="6">
                  <c:v>2018.</c:v>
                </c:pt>
              </c:strCache>
            </c:strRef>
          </c:cat>
          <c:val>
            <c:numRef>
              <c:f>Munka1!$B$6:$H$6</c:f>
              <c:numCache>
                <c:formatCode>0.00%</c:formatCode>
                <c:ptCount val="7"/>
                <c:pt idx="0">
                  <c:v>4.3999999999999997E-2</c:v>
                </c:pt>
                <c:pt idx="1">
                  <c:v>1.5299999999999999E-2</c:v>
                </c:pt>
                <c:pt idx="2">
                  <c:v>2.5499999999999998E-2</c:v>
                </c:pt>
                <c:pt idx="3">
                  <c:v>1.8599999999999998E-2</c:v>
                </c:pt>
                <c:pt idx="4">
                  <c:v>7.3800000000000004E-2</c:v>
                </c:pt>
                <c:pt idx="5" formatCode="0%">
                  <c:v>0.05</c:v>
                </c:pt>
                <c:pt idx="6">
                  <c:v>7.1400000000000005E-2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Nem válaszolt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Munka1!$B$1:$H$1</c:f>
              <c:strCache>
                <c:ptCount val="7"/>
                <c:pt idx="0">
                  <c:v>2011.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  <c:pt idx="4">
                  <c:v>2016.</c:v>
                </c:pt>
                <c:pt idx="5">
                  <c:v>2017.</c:v>
                </c:pt>
                <c:pt idx="6">
                  <c:v>2018.</c:v>
                </c:pt>
              </c:strCache>
            </c:strRef>
          </c:cat>
          <c:val>
            <c:numRef>
              <c:f>Munka1!$B$7:$H$7</c:f>
              <c:numCache>
                <c:formatCode>0.00%</c:formatCode>
                <c:ptCount val="7"/>
                <c:pt idx="0">
                  <c:v>1.26E-2</c:v>
                </c:pt>
                <c:pt idx="1">
                  <c:v>5.1000000000000004E-3</c:v>
                </c:pt>
                <c:pt idx="2">
                  <c:v>5.1000000000000004E-3</c:v>
                </c:pt>
                <c:pt idx="3" formatCode="0%">
                  <c:v>0</c:v>
                </c:pt>
                <c:pt idx="4" formatCode="0%">
                  <c:v>0</c:v>
                </c:pt>
                <c:pt idx="5">
                  <c:v>8.3000000000000001E-3</c:v>
                </c:pt>
                <c:pt idx="6" formatCode="0%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0468080"/>
        <c:axId val="410468864"/>
      </c:lineChart>
      <c:catAx>
        <c:axId val="410468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0468864"/>
        <c:crosses val="autoZero"/>
        <c:auto val="1"/>
        <c:lblAlgn val="ctr"/>
        <c:lblOffset val="100"/>
        <c:noMultiLvlLbl val="0"/>
      </c:catAx>
      <c:valAx>
        <c:axId val="41046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0468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Mennyire elégedett Ön az intézménnyel az alábbi szempontok alapján?</a:t>
            </a:r>
          </a:p>
          <a:p>
            <a:pPr>
              <a:defRPr/>
            </a:pPr>
            <a:r>
              <a:rPr lang="hu-HU" sz="1200"/>
              <a:t>[1-5-ig</a:t>
            </a:r>
            <a:r>
              <a:rPr lang="hu-HU" sz="1200" baseline="0"/>
              <a:t> terjedő skála, amelyen 1=nagyon elégedetlen, 5=teljes mértékben elégedett]</a:t>
            </a:r>
            <a:endParaRPr lang="hu-H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Munka1!$B$2:$B$17</c:f>
              <c:numCache>
                <c:formatCode>General</c:formatCode>
                <c:ptCount val="16"/>
                <c:pt idx="0">
                  <c:v>3.1</c:v>
                </c:pt>
                <c:pt idx="1">
                  <c:v>2.58</c:v>
                </c:pt>
                <c:pt idx="2">
                  <c:v>2.13</c:v>
                </c:pt>
                <c:pt idx="3">
                  <c:v>2.88</c:v>
                </c:pt>
                <c:pt idx="4">
                  <c:v>2.4500000000000002</c:v>
                </c:pt>
                <c:pt idx="5">
                  <c:v>3.58</c:v>
                </c:pt>
                <c:pt idx="6">
                  <c:v>3.37</c:v>
                </c:pt>
                <c:pt idx="7">
                  <c:v>3.03</c:v>
                </c:pt>
                <c:pt idx="8">
                  <c:v>3.09</c:v>
                </c:pt>
                <c:pt idx="9">
                  <c:v>3.25</c:v>
                </c:pt>
                <c:pt idx="10">
                  <c:v>3.25</c:v>
                </c:pt>
                <c:pt idx="11">
                  <c:v>2.88</c:v>
                </c:pt>
                <c:pt idx="12">
                  <c:v>2.9</c:v>
                </c:pt>
                <c:pt idx="13">
                  <c:v>2.85</c:v>
                </c:pt>
                <c:pt idx="14">
                  <c:v>2.95</c:v>
                </c:pt>
                <c:pt idx="15">
                  <c:v>2.9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2013.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Munka1!$C$2:$C$17</c:f>
              <c:numCache>
                <c:formatCode>General</c:formatCode>
                <c:ptCount val="16"/>
                <c:pt idx="0">
                  <c:v>3.01</c:v>
                </c:pt>
                <c:pt idx="1">
                  <c:v>2.3199999999999998</c:v>
                </c:pt>
                <c:pt idx="2">
                  <c:v>1.81</c:v>
                </c:pt>
                <c:pt idx="3">
                  <c:v>2.56</c:v>
                </c:pt>
                <c:pt idx="4">
                  <c:v>2.25</c:v>
                </c:pt>
                <c:pt idx="5">
                  <c:v>3.47</c:v>
                </c:pt>
                <c:pt idx="6">
                  <c:v>2.77</c:v>
                </c:pt>
                <c:pt idx="7">
                  <c:v>2.76</c:v>
                </c:pt>
                <c:pt idx="8">
                  <c:v>2.74</c:v>
                </c:pt>
                <c:pt idx="9">
                  <c:v>3.01</c:v>
                </c:pt>
                <c:pt idx="10">
                  <c:v>3.04</c:v>
                </c:pt>
                <c:pt idx="11">
                  <c:v>2.82</c:v>
                </c:pt>
                <c:pt idx="12">
                  <c:v>2.56</c:v>
                </c:pt>
                <c:pt idx="13">
                  <c:v>2.42</c:v>
                </c:pt>
                <c:pt idx="14">
                  <c:v>2.61</c:v>
                </c:pt>
                <c:pt idx="15">
                  <c:v>2.69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2014.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Munka1!$D$2:$D$17</c:f>
              <c:numCache>
                <c:formatCode>General</c:formatCode>
                <c:ptCount val="16"/>
                <c:pt idx="0">
                  <c:v>2.89</c:v>
                </c:pt>
                <c:pt idx="1">
                  <c:v>2.09</c:v>
                </c:pt>
                <c:pt idx="2">
                  <c:v>1.8</c:v>
                </c:pt>
                <c:pt idx="3">
                  <c:v>2.38</c:v>
                </c:pt>
                <c:pt idx="4">
                  <c:v>2.17</c:v>
                </c:pt>
                <c:pt idx="5">
                  <c:v>3.3</c:v>
                </c:pt>
                <c:pt idx="6">
                  <c:v>2.76</c:v>
                </c:pt>
                <c:pt idx="7">
                  <c:v>2.74</c:v>
                </c:pt>
                <c:pt idx="8">
                  <c:v>2.74</c:v>
                </c:pt>
                <c:pt idx="9">
                  <c:v>2.94</c:v>
                </c:pt>
                <c:pt idx="10">
                  <c:v>2.81</c:v>
                </c:pt>
                <c:pt idx="11">
                  <c:v>2.71</c:v>
                </c:pt>
                <c:pt idx="12">
                  <c:v>2.5499999999999998</c:v>
                </c:pt>
                <c:pt idx="13">
                  <c:v>2.5099999999999998</c:v>
                </c:pt>
                <c:pt idx="14">
                  <c:v>2.46</c:v>
                </c:pt>
                <c:pt idx="15">
                  <c:v>2.4700000000000002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Munka1!$E$2:$E$17</c:f>
              <c:numCache>
                <c:formatCode>General</c:formatCode>
                <c:ptCount val="16"/>
                <c:pt idx="0">
                  <c:v>2.78</c:v>
                </c:pt>
                <c:pt idx="1">
                  <c:v>1.99</c:v>
                </c:pt>
                <c:pt idx="2">
                  <c:v>1.77</c:v>
                </c:pt>
                <c:pt idx="3">
                  <c:v>2.4500000000000002</c:v>
                </c:pt>
                <c:pt idx="4">
                  <c:v>2.13</c:v>
                </c:pt>
                <c:pt idx="5">
                  <c:v>3.15</c:v>
                </c:pt>
                <c:pt idx="6">
                  <c:v>2.91</c:v>
                </c:pt>
                <c:pt idx="7">
                  <c:v>2.87</c:v>
                </c:pt>
                <c:pt idx="8">
                  <c:v>2.7</c:v>
                </c:pt>
                <c:pt idx="9">
                  <c:v>3.02</c:v>
                </c:pt>
                <c:pt idx="10">
                  <c:v>3.04</c:v>
                </c:pt>
                <c:pt idx="11">
                  <c:v>2.77</c:v>
                </c:pt>
                <c:pt idx="12">
                  <c:v>2.84</c:v>
                </c:pt>
                <c:pt idx="13">
                  <c:v>2.62</c:v>
                </c:pt>
                <c:pt idx="14">
                  <c:v>2.54</c:v>
                </c:pt>
                <c:pt idx="15">
                  <c:v>2.81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2016.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Munka1!$F$2:$F$17</c:f>
              <c:numCache>
                <c:formatCode>General</c:formatCode>
                <c:ptCount val="16"/>
                <c:pt idx="0">
                  <c:v>2.7</c:v>
                </c:pt>
                <c:pt idx="1">
                  <c:v>2.2200000000000002</c:v>
                </c:pt>
                <c:pt idx="2">
                  <c:v>1.6</c:v>
                </c:pt>
                <c:pt idx="3">
                  <c:v>2.31</c:v>
                </c:pt>
                <c:pt idx="4">
                  <c:v>2.0499999999999998</c:v>
                </c:pt>
                <c:pt idx="5">
                  <c:v>2.93</c:v>
                </c:pt>
                <c:pt idx="6">
                  <c:v>2.6</c:v>
                </c:pt>
                <c:pt idx="7">
                  <c:v>2.64</c:v>
                </c:pt>
                <c:pt idx="8">
                  <c:v>2.4700000000000002</c:v>
                </c:pt>
                <c:pt idx="9">
                  <c:v>2.7</c:v>
                </c:pt>
                <c:pt idx="10">
                  <c:v>2.73</c:v>
                </c:pt>
                <c:pt idx="11">
                  <c:v>2.66</c:v>
                </c:pt>
                <c:pt idx="12">
                  <c:v>2.69</c:v>
                </c:pt>
                <c:pt idx="13">
                  <c:v>2.85</c:v>
                </c:pt>
                <c:pt idx="14">
                  <c:v>2.54</c:v>
                </c:pt>
                <c:pt idx="15">
                  <c:v>2.57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2017.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Munka1!$G$2:$G$17</c:f>
              <c:numCache>
                <c:formatCode>General</c:formatCode>
                <c:ptCount val="16"/>
                <c:pt idx="0">
                  <c:v>2.63</c:v>
                </c:pt>
                <c:pt idx="1">
                  <c:v>2.0299999999999998</c:v>
                </c:pt>
                <c:pt idx="2">
                  <c:v>1.6</c:v>
                </c:pt>
                <c:pt idx="3">
                  <c:v>2.2799999999999998</c:v>
                </c:pt>
                <c:pt idx="4">
                  <c:v>2</c:v>
                </c:pt>
                <c:pt idx="5">
                  <c:v>2.98</c:v>
                </c:pt>
                <c:pt idx="6">
                  <c:v>2.56</c:v>
                </c:pt>
                <c:pt idx="7">
                  <c:v>2.64</c:v>
                </c:pt>
                <c:pt idx="8">
                  <c:v>2.66</c:v>
                </c:pt>
                <c:pt idx="9">
                  <c:v>2.81</c:v>
                </c:pt>
                <c:pt idx="10">
                  <c:v>3.01</c:v>
                </c:pt>
                <c:pt idx="11">
                  <c:v>2.63</c:v>
                </c:pt>
                <c:pt idx="12">
                  <c:v>2.79</c:v>
                </c:pt>
                <c:pt idx="13">
                  <c:v>2.9</c:v>
                </c:pt>
                <c:pt idx="14">
                  <c:v>2.46</c:v>
                </c:pt>
                <c:pt idx="15">
                  <c:v>2.83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2018.</c:v>
                </c:pt>
              </c:strCache>
            </c:strRef>
          </c:tx>
          <c:invertIfNegative val="0"/>
          <c:cat>
            <c:strRef>
              <c:f>Munka1!$A$2:$A$17</c:f>
              <c:strCache>
                <c:ptCount val="16"/>
                <c:pt idx="0">
                  <c:v>Előrejutási lehetőségek</c:v>
                </c:pt>
                <c:pt idx="1">
                  <c:v>Fizetés</c:v>
                </c:pt>
                <c:pt idx="2">
                  <c:v>Béren kívüli juttatások</c:v>
                </c:pt>
                <c:pt idx="3">
                  <c:v>Intézményi érdekképviselet</c:v>
                </c:pt>
                <c:pt idx="4">
                  <c:v>Ösztönzési rendszer</c:v>
                </c:pt>
                <c:pt idx="5">
                  <c:v>Intézményi szolgáltatások színvonala</c:v>
                </c:pt>
                <c:pt idx="6">
                  <c:v>Az intézmény hírneve</c:v>
                </c:pt>
                <c:pt idx="7">
                  <c:v>Az intézmény piacképessége</c:v>
                </c:pt>
                <c:pt idx="8">
                  <c:v>A felsővezetői irányítás következetessége</c:v>
                </c:pt>
                <c:pt idx="9">
                  <c:v>Az intézmény oktatáspolitikai elvei</c:v>
                </c:pt>
                <c:pt idx="10">
                  <c:v>Az intézmény célkitűzéseiről való tájékoztatás</c:v>
                </c:pt>
                <c:pt idx="11">
                  <c:v>Humánpolitika</c:v>
                </c:pt>
                <c:pt idx="12">
                  <c:v>Gazdálkodás</c:v>
                </c:pt>
                <c:pt idx="13">
                  <c:v>Az intézmény gazdálkodásáról való tájékoztatás</c:v>
                </c:pt>
                <c:pt idx="14">
                  <c:v>Az intézmény törekvése, hogy dolgozóit továbbképezze</c:v>
                </c:pt>
                <c:pt idx="15">
                  <c:v>Munkahely nyújtotta stabilitás</c:v>
                </c:pt>
              </c:strCache>
            </c:strRef>
          </c:cat>
          <c:val>
            <c:numRef>
              <c:f>Munka1!$H$2:$H$17</c:f>
              <c:numCache>
                <c:formatCode>General</c:formatCode>
                <c:ptCount val="16"/>
                <c:pt idx="0">
                  <c:v>2.6</c:v>
                </c:pt>
                <c:pt idx="1">
                  <c:v>2.15</c:v>
                </c:pt>
                <c:pt idx="2">
                  <c:v>1.83</c:v>
                </c:pt>
                <c:pt idx="3">
                  <c:v>2.09</c:v>
                </c:pt>
                <c:pt idx="4">
                  <c:v>2.0299999999999998</c:v>
                </c:pt>
                <c:pt idx="5">
                  <c:v>2.91</c:v>
                </c:pt>
                <c:pt idx="6">
                  <c:v>2.72</c:v>
                </c:pt>
                <c:pt idx="7">
                  <c:v>2.84</c:v>
                </c:pt>
                <c:pt idx="8">
                  <c:v>2.62</c:v>
                </c:pt>
                <c:pt idx="9">
                  <c:v>2.92</c:v>
                </c:pt>
                <c:pt idx="10">
                  <c:v>2.96</c:v>
                </c:pt>
                <c:pt idx="11">
                  <c:v>2.7</c:v>
                </c:pt>
                <c:pt idx="12">
                  <c:v>2.2999999999999998</c:v>
                </c:pt>
                <c:pt idx="13">
                  <c:v>2.2999999999999998</c:v>
                </c:pt>
                <c:pt idx="14">
                  <c:v>2.4500000000000002</c:v>
                </c:pt>
                <c:pt idx="15">
                  <c:v>2.65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338904"/>
        <c:axId val="349337336"/>
      </c:barChart>
      <c:catAx>
        <c:axId val="349338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9337336"/>
        <c:crosses val="autoZero"/>
        <c:auto val="1"/>
        <c:lblAlgn val="ctr"/>
        <c:lblOffset val="100"/>
        <c:noMultiLvlLbl val="0"/>
      </c:catAx>
      <c:valAx>
        <c:axId val="349337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349338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Mennyire elégedett Ön </a:t>
            </a:r>
            <a:r>
              <a:rPr lang="hu-HU" sz="1400"/>
              <a:t>a </a:t>
            </a:r>
            <a:r>
              <a:rPr lang="en-US" sz="1400"/>
              <a:t>közvetlen munkakörnyezetével? </a:t>
            </a:r>
            <a:endParaRPr lang="hu-HU" sz="1400"/>
          </a:p>
          <a:p>
            <a:pPr>
              <a:defRPr/>
            </a:pPr>
            <a:r>
              <a:rPr lang="hu-HU" sz="1200" b="1" i="0" baseline="0">
                <a:effectLst/>
              </a:rPr>
              <a:t>[1-5-ig terjedő skála, amelyen 1=nagyon elégedetlen, 5=teljes mértékben elégedett]</a:t>
            </a:r>
            <a:endParaRPr lang="hu-HU" sz="12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Munka1!$B$2:$B$23</c:f>
              <c:numCache>
                <c:formatCode>General</c:formatCode>
                <c:ptCount val="22"/>
                <c:pt idx="0">
                  <c:v>3.95</c:v>
                </c:pt>
                <c:pt idx="1">
                  <c:v>3.78</c:v>
                </c:pt>
                <c:pt idx="2">
                  <c:v>3.38</c:v>
                </c:pt>
                <c:pt idx="3">
                  <c:v>3.34</c:v>
                </c:pt>
                <c:pt idx="4">
                  <c:v>3.2</c:v>
                </c:pt>
                <c:pt idx="5">
                  <c:v>3.24</c:v>
                </c:pt>
                <c:pt idx="6">
                  <c:v>3.38</c:v>
                </c:pt>
                <c:pt idx="7">
                  <c:v>3.21</c:v>
                </c:pt>
                <c:pt idx="8">
                  <c:v>3.13</c:v>
                </c:pt>
                <c:pt idx="9">
                  <c:v>3.13</c:v>
                </c:pt>
                <c:pt idx="10">
                  <c:v>2.5</c:v>
                </c:pt>
                <c:pt idx="11">
                  <c:v>4</c:v>
                </c:pt>
                <c:pt idx="12">
                  <c:v>4.09</c:v>
                </c:pt>
                <c:pt idx="13">
                  <c:v>3.61</c:v>
                </c:pt>
                <c:pt idx="14">
                  <c:v>3.97</c:v>
                </c:pt>
                <c:pt idx="15">
                  <c:v>3.25</c:v>
                </c:pt>
                <c:pt idx="16">
                  <c:v>3.27</c:v>
                </c:pt>
                <c:pt idx="17">
                  <c:v>3.2</c:v>
                </c:pt>
                <c:pt idx="18">
                  <c:v>3.31</c:v>
                </c:pt>
                <c:pt idx="19">
                  <c:v>3.32</c:v>
                </c:pt>
                <c:pt idx="20">
                  <c:v>3.52</c:v>
                </c:pt>
                <c:pt idx="21">
                  <c:v>3.42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2013.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Munka1!$C$2:$C$23</c:f>
              <c:numCache>
                <c:formatCode>General</c:formatCode>
                <c:ptCount val="22"/>
                <c:pt idx="0">
                  <c:v>4.01</c:v>
                </c:pt>
                <c:pt idx="1">
                  <c:v>3.87</c:v>
                </c:pt>
                <c:pt idx="2">
                  <c:v>3.49</c:v>
                </c:pt>
                <c:pt idx="3">
                  <c:v>3.6</c:v>
                </c:pt>
                <c:pt idx="4">
                  <c:v>3.37</c:v>
                </c:pt>
                <c:pt idx="5">
                  <c:v>3.46</c:v>
                </c:pt>
                <c:pt idx="6">
                  <c:v>3.63</c:v>
                </c:pt>
                <c:pt idx="7">
                  <c:v>3.46</c:v>
                </c:pt>
                <c:pt idx="8">
                  <c:v>3.2</c:v>
                </c:pt>
                <c:pt idx="9">
                  <c:v>3.33</c:v>
                </c:pt>
                <c:pt idx="10">
                  <c:v>2.52</c:v>
                </c:pt>
                <c:pt idx="11">
                  <c:v>3.95</c:v>
                </c:pt>
                <c:pt idx="12">
                  <c:v>3.93</c:v>
                </c:pt>
                <c:pt idx="13">
                  <c:v>3.4</c:v>
                </c:pt>
                <c:pt idx="14">
                  <c:v>4.12</c:v>
                </c:pt>
                <c:pt idx="15">
                  <c:v>2.91</c:v>
                </c:pt>
                <c:pt idx="16">
                  <c:v>3.3</c:v>
                </c:pt>
                <c:pt idx="17">
                  <c:v>3.29</c:v>
                </c:pt>
                <c:pt idx="18">
                  <c:v>3.37</c:v>
                </c:pt>
                <c:pt idx="19">
                  <c:v>3.52</c:v>
                </c:pt>
                <c:pt idx="20">
                  <c:v>3.85</c:v>
                </c:pt>
                <c:pt idx="21">
                  <c:v>3.36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2014.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Munka1!$D$2:$D$23</c:f>
              <c:numCache>
                <c:formatCode>General</c:formatCode>
                <c:ptCount val="22"/>
                <c:pt idx="0">
                  <c:v>3.87</c:v>
                </c:pt>
                <c:pt idx="1">
                  <c:v>3.69</c:v>
                </c:pt>
                <c:pt idx="2">
                  <c:v>3.3</c:v>
                </c:pt>
                <c:pt idx="3">
                  <c:v>3.39</c:v>
                </c:pt>
                <c:pt idx="4">
                  <c:v>3.26</c:v>
                </c:pt>
                <c:pt idx="5">
                  <c:v>3.3</c:v>
                </c:pt>
                <c:pt idx="6">
                  <c:v>3.44</c:v>
                </c:pt>
                <c:pt idx="7">
                  <c:v>3.21</c:v>
                </c:pt>
                <c:pt idx="8">
                  <c:v>3.02</c:v>
                </c:pt>
                <c:pt idx="9">
                  <c:v>2.99</c:v>
                </c:pt>
                <c:pt idx="10">
                  <c:v>2.37</c:v>
                </c:pt>
                <c:pt idx="11">
                  <c:v>3.83</c:v>
                </c:pt>
                <c:pt idx="12">
                  <c:v>3.86</c:v>
                </c:pt>
                <c:pt idx="13">
                  <c:v>3.3</c:v>
                </c:pt>
                <c:pt idx="14">
                  <c:v>3.97</c:v>
                </c:pt>
                <c:pt idx="15">
                  <c:v>2.73</c:v>
                </c:pt>
                <c:pt idx="16">
                  <c:v>3.08</c:v>
                </c:pt>
                <c:pt idx="17">
                  <c:v>3.16</c:v>
                </c:pt>
                <c:pt idx="18">
                  <c:v>3.26</c:v>
                </c:pt>
                <c:pt idx="19">
                  <c:v>3.35</c:v>
                </c:pt>
                <c:pt idx="20">
                  <c:v>3.68</c:v>
                </c:pt>
                <c:pt idx="21">
                  <c:v>3.19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Munka1!$E$2:$E$23</c:f>
              <c:numCache>
                <c:formatCode>General</c:formatCode>
                <c:ptCount val="22"/>
                <c:pt idx="0">
                  <c:v>3.99</c:v>
                </c:pt>
                <c:pt idx="1">
                  <c:v>3.81</c:v>
                </c:pt>
                <c:pt idx="2">
                  <c:v>3.42</c:v>
                </c:pt>
                <c:pt idx="3">
                  <c:v>3.4</c:v>
                </c:pt>
                <c:pt idx="4">
                  <c:v>3.21</c:v>
                </c:pt>
                <c:pt idx="5">
                  <c:v>3.27</c:v>
                </c:pt>
                <c:pt idx="6">
                  <c:v>3.42</c:v>
                </c:pt>
                <c:pt idx="7">
                  <c:v>3.29</c:v>
                </c:pt>
                <c:pt idx="8">
                  <c:v>3.19</c:v>
                </c:pt>
                <c:pt idx="9">
                  <c:v>3.17</c:v>
                </c:pt>
                <c:pt idx="10">
                  <c:v>2.4500000000000002</c:v>
                </c:pt>
                <c:pt idx="11">
                  <c:v>3.82</c:v>
                </c:pt>
                <c:pt idx="12">
                  <c:v>3.67</c:v>
                </c:pt>
                <c:pt idx="13">
                  <c:v>3.11</c:v>
                </c:pt>
                <c:pt idx="14">
                  <c:v>3.94</c:v>
                </c:pt>
                <c:pt idx="15">
                  <c:v>2.48</c:v>
                </c:pt>
                <c:pt idx="16">
                  <c:v>3.03</c:v>
                </c:pt>
                <c:pt idx="17">
                  <c:v>3.34</c:v>
                </c:pt>
                <c:pt idx="18">
                  <c:v>3.34</c:v>
                </c:pt>
                <c:pt idx="19">
                  <c:v>3.6</c:v>
                </c:pt>
                <c:pt idx="20">
                  <c:v>3.55</c:v>
                </c:pt>
                <c:pt idx="21">
                  <c:v>3.12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2016.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Munka1!$F$2:$F$23</c:f>
              <c:numCache>
                <c:formatCode>General</c:formatCode>
                <c:ptCount val="22"/>
                <c:pt idx="0">
                  <c:v>3.91</c:v>
                </c:pt>
                <c:pt idx="1">
                  <c:v>3.62</c:v>
                </c:pt>
                <c:pt idx="2">
                  <c:v>3.35</c:v>
                </c:pt>
                <c:pt idx="3">
                  <c:v>3.46</c:v>
                </c:pt>
                <c:pt idx="4">
                  <c:v>3.41</c:v>
                </c:pt>
                <c:pt idx="5">
                  <c:v>3.19</c:v>
                </c:pt>
                <c:pt idx="6">
                  <c:v>3.37</c:v>
                </c:pt>
                <c:pt idx="7">
                  <c:v>3.31</c:v>
                </c:pt>
                <c:pt idx="8">
                  <c:v>3.31</c:v>
                </c:pt>
                <c:pt idx="9">
                  <c:v>3.33</c:v>
                </c:pt>
                <c:pt idx="10">
                  <c:v>2.38</c:v>
                </c:pt>
                <c:pt idx="11">
                  <c:v>3.67</c:v>
                </c:pt>
                <c:pt idx="12">
                  <c:v>3.62</c:v>
                </c:pt>
                <c:pt idx="13">
                  <c:v>2.93</c:v>
                </c:pt>
                <c:pt idx="14">
                  <c:v>3.81</c:v>
                </c:pt>
                <c:pt idx="15">
                  <c:v>2.69</c:v>
                </c:pt>
                <c:pt idx="16">
                  <c:v>3.12</c:v>
                </c:pt>
                <c:pt idx="17">
                  <c:v>3.22</c:v>
                </c:pt>
                <c:pt idx="18">
                  <c:v>3.23</c:v>
                </c:pt>
                <c:pt idx="19">
                  <c:v>3.32</c:v>
                </c:pt>
                <c:pt idx="20">
                  <c:v>3.48</c:v>
                </c:pt>
                <c:pt idx="21">
                  <c:v>3.01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2017.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Munka1!$G$2:$G$23</c:f>
              <c:numCache>
                <c:formatCode>General</c:formatCode>
                <c:ptCount val="22"/>
                <c:pt idx="0">
                  <c:v>4.04</c:v>
                </c:pt>
                <c:pt idx="1">
                  <c:v>3.77</c:v>
                </c:pt>
                <c:pt idx="2">
                  <c:v>3.55</c:v>
                </c:pt>
                <c:pt idx="3">
                  <c:v>3.58</c:v>
                </c:pt>
                <c:pt idx="4">
                  <c:v>3.3</c:v>
                </c:pt>
                <c:pt idx="5">
                  <c:v>3.37</c:v>
                </c:pt>
                <c:pt idx="6">
                  <c:v>3.61</c:v>
                </c:pt>
                <c:pt idx="7">
                  <c:v>3.46</c:v>
                </c:pt>
                <c:pt idx="8">
                  <c:v>3.21</c:v>
                </c:pt>
                <c:pt idx="9">
                  <c:v>3.33</c:v>
                </c:pt>
                <c:pt idx="10">
                  <c:v>2.41</c:v>
                </c:pt>
                <c:pt idx="11">
                  <c:v>3.65</c:v>
                </c:pt>
                <c:pt idx="12">
                  <c:v>3.52</c:v>
                </c:pt>
                <c:pt idx="13">
                  <c:v>2.81</c:v>
                </c:pt>
                <c:pt idx="14">
                  <c:v>3.82</c:v>
                </c:pt>
                <c:pt idx="15">
                  <c:v>2.81</c:v>
                </c:pt>
                <c:pt idx="16">
                  <c:v>3</c:v>
                </c:pt>
                <c:pt idx="17">
                  <c:v>3.23</c:v>
                </c:pt>
                <c:pt idx="18">
                  <c:v>3.42</c:v>
                </c:pt>
                <c:pt idx="19">
                  <c:v>3.48</c:v>
                </c:pt>
                <c:pt idx="20">
                  <c:v>3.37</c:v>
                </c:pt>
                <c:pt idx="21">
                  <c:v>2.98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2018.</c:v>
                </c:pt>
              </c:strCache>
            </c:strRef>
          </c:tx>
          <c:invertIfNegative val="0"/>
          <c:cat>
            <c:strRef>
              <c:f>Munka1!$A$2:$A$23</c:f>
              <c:strCache>
                <c:ptCount val="22"/>
                <c:pt idx="0">
                  <c:v>Az Ön által végzett munka</c:v>
                </c:pt>
                <c:pt idx="1">
                  <c:v>A vezetői elvárások egyértelműsége</c:v>
                </c:pt>
                <c:pt idx="2">
                  <c:v>A feladatok kompetenciákon alapuló elosztása</c:v>
                </c:pt>
                <c:pt idx="3">
                  <c:v>A munkatársak véleményének figyelembe vétele</c:v>
                </c:pt>
                <c:pt idx="4">
                  <c:v>A munkatársak bevonása a döntéshozatalba</c:v>
                </c:pt>
                <c:pt idx="5">
                  <c:v>Az információk időbeni eljuttatása a munkatársakhoz</c:v>
                </c:pt>
                <c:pt idx="6">
                  <c:v>A munkavégzéssel kapcs. kérdésekre adott válaszok pontossága</c:v>
                </c:pt>
                <c:pt idx="7">
                  <c:v>A munkavégzéssel kapcsolatos visszajelzések rendszeressége</c:v>
                </c:pt>
                <c:pt idx="8">
                  <c:v>A teljesítményértékelés objektivitása</c:v>
                </c:pt>
                <c:pt idx="9">
                  <c:v>Az értékelés személyre szabottsága</c:v>
                </c:pt>
                <c:pt idx="10">
                  <c:v>A teljesítmény és az anyagi elbírálás arányossága</c:v>
                </c:pt>
                <c:pt idx="11">
                  <c:v>A munkahelyi környezet komfortossága</c:v>
                </c:pt>
                <c:pt idx="12">
                  <c:v>Munkahelyi infrastruktúra</c:v>
                </c:pt>
                <c:pt idx="13">
                  <c:v>A munkavégzéshez biztosított anyagok és eszközök</c:v>
                </c:pt>
                <c:pt idx="14">
                  <c:v>Biztonságos munkafeltételek</c:v>
                </c:pt>
                <c:pt idx="15">
                  <c:v>Konferenciákon, továbbképzéseken való részvételi lehetőségek</c:v>
                </c:pt>
                <c:pt idx="16">
                  <c:v>Az egyéni képességek kibontakozásának lehetőségei</c:v>
                </c:pt>
                <c:pt idx="17">
                  <c:v>Az egyéni felelősségek tisztázottsága</c:v>
                </c:pt>
                <c:pt idx="18">
                  <c:v>A munkatársak elkötelezettsége a munkahelyi célok elérésére</c:v>
                </c:pt>
                <c:pt idx="19">
                  <c:v>A munkatársak elkötelezettsége a minőségi munka mellett</c:v>
                </c:pt>
                <c:pt idx="20">
                  <c:v>Munkahelyi légkör</c:v>
                </c:pt>
                <c:pt idx="21">
                  <c:v>Az Ön által végzett munka fontosságának elismerése</c:v>
                </c:pt>
              </c:strCache>
            </c:strRef>
          </c:cat>
          <c:val>
            <c:numRef>
              <c:f>Munka1!$H$2:$H$23</c:f>
              <c:numCache>
                <c:formatCode>General</c:formatCode>
                <c:ptCount val="22"/>
                <c:pt idx="0">
                  <c:v>3.89</c:v>
                </c:pt>
                <c:pt idx="1">
                  <c:v>3.6</c:v>
                </c:pt>
                <c:pt idx="2">
                  <c:v>3.14</c:v>
                </c:pt>
                <c:pt idx="3">
                  <c:v>3.09</c:v>
                </c:pt>
                <c:pt idx="4">
                  <c:v>3.06</c:v>
                </c:pt>
                <c:pt idx="5">
                  <c:v>3.24</c:v>
                </c:pt>
                <c:pt idx="6">
                  <c:v>3.26</c:v>
                </c:pt>
                <c:pt idx="7">
                  <c:v>3.1</c:v>
                </c:pt>
                <c:pt idx="8">
                  <c:v>2.97</c:v>
                </c:pt>
                <c:pt idx="9">
                  <c:v>3.03</c:v>
                </c:pt>
                <c:pt idx="10">
                  <c:v>2.2200000000000002</c:v>
                </c:pt>
                <c:pt idx="11">
                  <c:v>3.58</c:v>
                </c:pt>
                <c:pt idx="12">
                  <c:v>3.53</c:v>
                </c:pt>
                <c:pt idx="13">
                  <c:v>2.84</c:v>
                </c:pt>
                <c:pt idx="14">
                  <c:v>3.64</c:v>
                </c:pt>
                <c:pt idx="15">
                  <c:v>2.75</c:v>
                </c:pt>
                <c:pt idx="16">
                  <c:v>2.89</c:v>
                </c:pt>
                <c:pt idx="17">
                  <c:v>3.01</c:v>
                </c:pt>
                <c:pt idx="18">
                  <c:v>3.18</c:v>
                </c:pt>
                <c:pt idx="19">
                  <c:v>3.39</c:v>
                </c:pt>
                <c:pt idx="20">
                  <c:v>3.12</c:v>
                </c:pt>
                <c:pt idx="21">
                  <c:v>2.96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336160"/>
        <c:axId val="349335376"/>
      </c:barChart>
      <c:catAx>
        <c:axId val="349336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hu-HU"/>
          </a:p>
        </c:txPr>
        <c:crossAx val="349335376"/>
        <c:crosses val="autoZero"/>
        <c:auto val="1"/>
        <c:lblAlgn val="ctr"/>
        <c:lblOffset val="100"/>
        <c:noMultiLvlLbl val="0"/>
      </c:catAx>
      <c:valAx>
        <c:axId val="349335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9336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Mely</a:t>
            </a:r>
            <a:r>
              <a:rPr lang="hu-HU" sz="1400" baseline="0"/>
              <a:t> terület(ek)en látja el feladatát? </a:t>
            </a:r>
          </a:p>
          <a:p>
            <a:pPr>
              <a:defRPr/>
            </a:pPr>
            <a:r>
              <a:rPr lang="hu-HU" sz="1200"/>
              <a:t>[fő]</a:t>
            </a:r>
          </a:p>
        </c:rich>
      </c:tx>
      <c:layout>
        <c:manualLayout>
          <c:xMode val="edge"/>
          <c:yMode val="edge"/>
          <c:x val="0.378677449102646"/>
          <c:y val="2.77296360485268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858778463502868E-2"/>
          <c:y val="0.10612418315745722"/>
          <c:w val="0.90660969000496561"/>
          <c:h val="0.7026100476443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4</c:v>
                </c:pt>
                <c:pt idx="1">
                  <c:v>15</c:v>
                </c:pt>
                <c:pt idx="2">
                  <c:v>86</c:v>
                </c:pt>
                <c:pt idx="3">
                  <c:v>3</c:v>
                </c:pt>
                <c:pt idx="4">
                  <c:v>31</c:v>
                </c:pt>
                <c:pt idx="5">
                  <c:v>13</c:v>
                </c:pt>
                <c:pt idx="6">
                  <c:v>8</c:v>
                </c:pt>
                <c:pt idx="7">
                  <c:v>15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2013.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Munka1!$C$2:$C$10</c:f>
              <c:numCache>
                <c:formatCode>General</c:formatCode>
                <c:ptCount val="9"/>
                <c:pt idx="0">
                  <c:v>1</c:v>
                </c:pt>
                <c:pt idx="1">
                  <c:v>23</c:v>
                </c:pt>
                <c:pt idx="2">
                  <c:v>113</c:v>
                </c:pt>
                <c:pt idx="3">
                  <c:v>6</c:v>
                </c:pt>
                <c:pt idx="4">
                  <c:v>31</c:v>
                </c:pt>
                <c:pt idx="5">
                  <c:v>10</c:v>
                </c:pt>
                <c:pt idx="6">
                  <c:v>8</c:v>
                </c:pt>
                <c:pt idx="7">
                  <c:v>20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2014.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Munka1!$D$2:$D$10</c:f>
              <c:numCache>
                <c:formatCode>General</c:formatCode>
                <c:ptCount val="9"/>
                <c:pt idx="0">
                  <c:v>2</c:v>
                </c:pt>
                <c:pt idx="1">
                  <c:v>16</c:v>
                </c:pt>
                <c:pt idx="2">
                  <c:v>124</c:v>
                </c:pt>
                <c:pt idx="3">
                  <c:v>4</c:v>
                </c:pt>
                <c:pt idx="4">
                  <c:v>38</c:v>
                </c:pt>
                <c:pt idx="5">
                  <c:v>7</c:v>
                </c:pt>
                <c:pt idx="6">
                  <c:v>3</c:v>
                </c:pt>
                <c:pt idx="7">
                  <c:v>10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Munka1!$E$2:$E$10</c:f>
              <c:numCache>
                <c:formatCode>General</c:formatCode>
                <c:ptCount val="9"/>
                <c:pt idx="0">
                  <c:v>1</c:v>
                </c:pt>
                <c:pt idx="1">
                  <c:v>9</c:v>
                </c:pt>
                <c:pt idx="2">
                  <c:v>108</c:v>
                </c:pt>
                <c:pt idx="3">
                  <c:v>1</c:v>
                </c:pt>
                <c:pt idx="4">
                  <c:v>28</c:v>
                </c:pt>
                <c:pt idx="5">
                  <c:v>8</c:v>
                </c:pt>
                <c:pt idx="6">
                  <c:v>4</c:v>
                </c:pt>
                <c:pt idx="7">
                  <c:v>9</c:v>
                </c:pt>
                <c:pt idx="8">
                  <c:v>10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2016.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Munka1!$F$2:$F$10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80</c:v>
                </c:pt>
                <c:pt idx="3">
                  <c:v>0</c:v>
                </c:pt>
                <c:pt idx="4">
                  <c:v>20</c:v>
                </c:pt>
                <c:pt idx="5">
                  <c:v>6</c:v>
                </c:pt>
                <c:pt idx="6">
                  <c:v>4</c:v>
                </c:pt>
                <c:pt idx="7">
                  <c:v>10</c:v>
                </c:pt>
                <c:pt idx="8">
                  <c:v>9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2017.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Munka1!$G$2:$G$10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76</c:v>
                </c:pt>
                <c:pt idx="3">
                  <c:v>0</c:v>
                </c:pt>
                <c:pt idx="4">
                  <c:v>19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2018.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Felsővezetés</c:v>
                </c:pt>
                <c:pt idx="1">
                  <c:v>Középvezetés</c:v>
                </c:pt>
                <c:pt idx="2">
                  <c:v>Oktatás, kutatás</c:v>
                </c:pt>
                <c:pt idx="3">
                  <c:v>Jog, humánpolitika, belső ellenőrzés</c:v>
                </c:pt>
                <c:pt idx="4">
                  <c:v>Adminisztráció, minőségügy</c:v>
                </c:pt>
                <c:pt idx="5">
                  <c:v>Gazdaság és üzemeltetés</c:v>
                </c:pt>
                <c:pt idx="6">
                  <c:v>Informatika, belső kommunikáció</c:v>
                </c:pt>
                <c:pt idx="7">
                  <c:v>Szolgáltatás</c:v>
                </c:pt>
                <c:pt idx="8">
                  <c:v>Egyéb</c:v>
                </c:pt>
              </c:strCache>
            </c:strRef>
          </c:cat>
          <c:val>
            <c:numRef>
              <c:f>Munka1!$H$2:$H$10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63</c:v>
                </c:pt>
                <c:pt idx="3">
                  <c:v>0</c:v>
                </c:pt>
                <c:pt idx="4">
                  <c:v>20</c:v>
                </c:pt>
                <c:pt idx="5">
                  <c:v>7</c:v>
                </c:pt>
                <c:pt idx="6">
                  <c:v>2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470128"/>
        <c:axId val="455654416"/>
      </c:barChart>
      <c:catAx>
        <c:axId val="410470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5654416"/>
        <c:crosses val="autoZero"/>
        <c:auto val="1"/>
        <c:lblAlgn val="ctr"/>
        <c:lblOffset val="100"/>
        <c:noMultiLvlLbl val="0"/>
      </c:catAx>
      <c:valAx>
        <c:axId val="45565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047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 az Ön legmagasabb</a:t>
            </a:r>
            <a:r>
              <a:rPr lang="hu-HU" sz="1400" baseline="0"/>
              <a:t> iskolai végzettsége?</a:t>
            </a:r>
            <a:endParaRPr lang="hu-HU" sz="1400"/>
          </a:p>
          <a:p>
            <a:pPr>
              <a:defRPr/>
            </a:pPr>
            <a:r>
              <a:rPr lang="hu-HU" sz="12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Munka1!$B$2:$B$7</c:f>
              <c:numCache>
                <c:formatCode>0.00%</c:formatCode>
                <c:ptCount val="6"/>
                <c:pt idx="0">
                  <c:v>0.62890000000000001</c:v>
                </c:pt>
                <c:pt idx="1">
                  <c:v>0.20130000000000001</c:v>
                </c:pt>
                <c:pt idx="2">
                  <c:v>1.89E-2</c:v>
                </c:pt>
                <c:pt idx="3">
                  <c:v>0.1132</c:v>
                </c:pt>
                <c:pt idx="4">
                  <c:v>1.26E-2</c:v>
                </c:pt>
                <c:pt idx="5">
                  <c:v>2.52E-2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2013.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Munka1!$C$2:$C$7</c:f>
              <c:numCache>
                <c:formatCode>0.00%</c:formatCode>
                <c:ptCount val="6"/>
                <c:pt idx="0">
                  <c:v>0.61219999999999997</c:v>
                </c:pt>
                <c:pt idx="1">
                  <c:v>0.22450000000000001</c:v>
                </c:pt>
                <c:pt idx="2">
                  <c:v>1.0200000000000001E-2</c:v>
                </c:pt>
                <c:pt idx="3">
                  <c:v>4.0800000000000003E-2</c:v>
                </c:pt>
                <c:pt idx="4">
                  <c:v>5.6099999999999997E-2</c:v>
                </c:pt>
                <c:pt idx="5">
                  <c:v>5.6099999999999997E-2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2014.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Munka1!$D$2:$D$7</c:f>
              <c:numCache>
                <c:formatCode>0.00%</c:formatCode>
                <c:ptCount val="6"/>
                <c:pt idx="0">
                  <c:v>0.71430000000000005</c:v>
                </c:pt>
                <c:pt idx="1">
                  <c:v>0.19389999999999999</c:v>
                </c:pt>
                <c:pt idx="2">
                  <c:v>1.5299999999999999E-2</c:v>
                </c:pt>
                <c:pt idx="3">
                  <c:v>4.5900000000000003E-2</c:v>
                </c:pt>
                <c:pt idx="4" formatCode="0%">
                  <c:v>0</c:v>
                </c:pt>
                <c:pt idx="5">
                  <c:v>3.0599999999999999E-2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Munka1!$E$2:$E$7</c:f>
              <c:numCache>
                <c:formatCode>0.00%</c:formatCode>
                <c:ptCount val="6"/>
                <c:pt idx="0">
                  <c:v>0.71430000000000005</c:v>
                </c:pt>
                <c:pt idx="1">
                  <c:v>0.1615</c:v>
                </c:pt>
                <c:pt idx="2">
                  <c:v>6.1999999999999998E-3</c:v>
                </c:pt>
                <c:pt idx="3">
                  <c:v>3.73E-2</c:v>
                </c:pt>
                <c:pt idx="4" formatCode="0%">
                  <c:v>0</c:v>
                </c:pt>
                <c:pt idx="5">
                  <c:v>8.0699999999999994E-2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2016.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Munka1!$F$2:$F$7</c:f>
              <c:numCache>
                <c:formatCode>0.00%</c:formatCode>
                <c:ptCount val="6"/>
                <c:pt idx="0">
                  <c:v>0.66390000000000005</c:v>
                </c:pt>
                <c:pt idx="1">
                  <c:v>0.16389999999999999</c:v>
                </c:pt>
                <c:pt idx="2">
                  <c:v>1.6400000000000001E-2</c:v>
                </c:pt>
                <c:pt idx="3">
                  <c:v>3.2800000000000003E-2</c:v>
                </c:pt>
                <c:pt idx="4">
                  <c:v>8.2000000000000007E-3</c:v>
                </c:pt>
                <c:pt idx="5">
                  <c:v>0.1148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2017.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Munka1!$G$2:$G$7</c:f>
              <c:numCache>
                <c:formatCode>0%</c:formatCode>
                <c:ptCount val="6"/>
                <c:pt idx="0" formatCode="0.00%">
                  <c:v>0.69169999999999998</c:v>
                </c:pt>
                <c:pt idx="1">
                  <c:v>0.15</c:v>
                </c:pt>
                <c:pt idx="2" formatCode="0.00%">
                  <c:v>2.5000000000000001E-2</c:v>
                </c:pt>
                <c:pt idx="3" formatCode="0.00%">
                  <c:v>3.3300000000000003E-2</c:v>
                </c:pt>
                <c:pt idx="4" formatCode="0.00%">
                  <c:v>8.3000000000000001E-3</c:v>
                </c:pt>
                <c:pt idx="5" formatCode="0.00%">
                  <c:v>9.1700000000000004E-2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2018.</c:v>
                </c:pt>
              </c:strCache>
            </c:strRef>
          </c:tx>
          <c:invertIfNegative val="0"/>
          <c:cat>
            <c:strRef>
              <c:f>Munka1!$A$2:$A$7</c:f>
              <c:strCache>
                <c:ptCount val="6"/>
                <c:pt idx="0">
                  <c:v>Egyetem (hagyományos, MA, MSc, osztatlan)</c:v>
                </c:pt>
                <c:pt idx="1">
                  <c:v>Főiskola (hagyományos, BA, BSc, osztatlan)</c:v>
                </c:pt>
                <c:pt idx="2">
                  <c:v>Felsőfokú/felsőoktatási szakképzés</c:v>
                </c:pt>
                <c:pt idx="3">
                  <c:v>Középiskola</c:v>
                </c:pt>
                <c:pt idx="4">
                  <c:v>Egyéb</c:v>
                </c:pt>
                <c:pt idx="5">
                  <c:v>Nem válaszolt</c:v>
                </c:pt>
              </c:strCache>
            </c:strRef>
          </c:cat>
          <c:val>
            <c:numRef>
              <c:f>Munka1!$H$2:$H$7</c:f>
              <c:numCache>
                <c:formatCode>0.00%</c:formatCode>
                <c:ptCount val="6"/>
                <c:pt idx="0">
                  <c:v>0.61219999999999997</c:v>
                </c:pt>
                <c:pt idx="1">
                  <c:v>0.17349999999999999</c:v>
                </c:pt>
                <c:pt idx="2">
                  <c:v>2.0400000000000001E-2</c:v>
                </c:pt>
                <c:pt idx="3">
                  <c:v>6.1199999999999997E-2</c:v>
                </c:pt>
                <c:pt idx="4">
                  <c:v>1.0200000000000001E-2</c:v>
                </c:pt>
                <c:pt idx="5">
                  <c:v>0.12239999999999999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833352"/>
        <c:axId val="410471392"/>
      </c:barChart>
      <c:catAx>
        <c:axId val="452833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0471392"/>
        <c:crosses val="autoZero"/>
        <c:auto val="1"/>
        <c:lblAlgn val="ctr"/>
        <c:lblOffset val="100"/>
        <c:noMultiLvlLbl val="0"/>
      </c:catAx>
      <c:valAx>
        <c:axId val="4104713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52833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Rendelkezik-e tudományos fokozattal, címmel?</a:t>
            </a:r>
          </a:p>
          <a:p>
            <a:pPr>
              <a:defRPr/>
            </a:pPr>
            <a:r>
              <a:rPr lang="hu-HU" sz="12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Munka1!$B$2:$B$4</c:f>
              <c:numCache>
                <c:formatCode>0.00%</c:formatCode>
                <c:ptCount val="3"/>
                <c:pt idx="0">
                  <c:v>0.35220000000000001</c:v>
                </c:pt>
                <c:pt idx="1">
                  <c:v>0.62260000000000004</c:v>
                </c:pt>
                <c:pt idx="2">
                  <c:v>2.52E-2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2013.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Munka1!$C$2:$C$4</c:f>
              <c:numCache>
                <c:formatCode>0.00%</c:formatCode>
                <c:ptCount val="3"/>
                <c:pt idx="0">
                  <c:v>0.4133</c:v>
                </c:pt>
                <c:pt idx="1">
                  <c:v>0.54079999999999995</c:v>
                </c:pt>
                <c:pt idx="2">
                  <c:v>4.5900000000000003E-2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2014.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Munka1!$D$2:$D$4</c:f>
              <c:numCache>
                <c:formatCode>0.00%</c:formatCode>
                <c:ptCount val="3"/>
                <c:pt idx="0">
                  <c:v>0.36220000000000002</c:v>
                </c:pt>
                <c:pt idx="1">
                  <c:v>0.47449999999999998</c:v>
                </c:pt>
                <c:pt idx="2">
                  <c:v>0.1633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Munka1!$E$2:$E$4</c:f>
              <c:numCache>
                <c:formatCode>0.00%</c:formatCode>
                <c:ptCount val="3"/>
                <c:pt idx="0">
                  <c:v>0.30430000000000001</c:v>
                </c:pt>
                <c:pt idx="1">
                  <c:v>0.37890000000000001</c:v>
                </c:pt>
                <c:pt idx="2">
                  <c:v>0.31680000000000003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2016.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Munka1!$F$2:$F$4</c:f>
              <c:numCache>
                <c:formatCode>0.00%</c:formatCode>
                <c:ptCount val="3"/>
                <c:pt idx="0">
                  <c:v>0.25409999999999999</c:v>
                </c:pt>
                <c:pt idx="1">
                  <c:v>0.41799999999999998</c:v>
                </c:pt>
                <c:pt idx="2">
                  <c:v>0.32790000000000002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2017.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Munka1!$G$2:$G$4</c:f>
              <c:numCache>
                <c:formatCode>0%</c:formatCode>
                <c:ptCount val="3"/>
                <c:pt idx="0" formatCode="0.00%">
                  <c:v>0.27500000000000002</c:v>
                </c:pt>
                <c:pt idx="1">
                  <c:v>0.4</c:v>
                </c:pt>
                <c:pt idx="2" formatCode="0.00%">
                  <c:v>0.32500000000000001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2018.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Igen.</c:v>
                </c:pt>
                <c:pt idx="1">
                  <c:v>Nem.</c:v>
                </c:pt>
                <c:pt idx="2">
                  <c:v>Nem válaszolt</c:v>
                </c:pt>
              </c:strCache>
            </c:strRef>
          </c:cat>
          <c:val>
            <c:numRef>
              <c:f>Munka1!$H$2:$H$4</c:f>
              <c:numCache>
                <c:formatCode>0.00%</c:formatCode>
                <c:ptCount val="3"/>
                <c:pt idx="0">
                  <c:v>0.31630000000000003</c:v>
                </c:pt>
                <c:pt idx="1">
                  <c:v>0.38779999999999998</c:v>
                </c:pt>
                <c:pt idx="2">
                  <c:v>0.2959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472568"/>
        <c:axId val="410472960"/>
      </c:barChart>
      <c:catAx>
        <c:axId val="410472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crossAx val="410472960"/>
        <c:crosses val="autoZero"/>
        <c:auto val="1"/>
        <c:lblAlgn val="ctr"/>
        <c:lblOffset val="100"/>
        <c:noMultiLvlLbl val="0"/>
      </c:catAx>
      <c:valAx>
        <c:axId val="41047296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one"/>
        <c:crossAx val="410472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7582-E568-4CFD-99E2-D99D4D5F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Huba Ildikó</cp:lastModifiedBy>
  <cp:revision>5</cp:revision>
  <cp:lastPrinted>2018-12-18T10:26:00Z</cp:lastPrinted>
  <dcterms:created xsi:type="dcterms:W3CDTF">2018-12-18T10:27:00Z</dcterms:created>
  <dcterms:modified xsi:type="dcterms:W3CDTF">2018-12-18T12:55:00Z</dcterms:modified>
</cp:coreProperties>
</file>