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bookmarkStart w:id="0" w:name="_GoBack"/>
      <w:bookmarkEnd w:id="0"/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</w:t>
      </w:r>
      <w:r w:rsidR="00F47B65">
        <w:rPr>
          <w:rFonts w:ascii="Garamond" w:hAnsi="Garamond" w:cs="Times"/>
          <w:b/>
          <w:bCs/>
        </w:rPr>
        <w:t>20</w:t>
      </w:r>
      <w:r w:rsidRPr="00827B68">
        <w:rPr>
          <w:rFonts w:ascii="Garamond" w:hAnsi="Garamond" w:cs="Times"/>
          <w:b/>
          <w:bCs/>
        </w:rPr>
        <w:t>. évi kompenzációjának igénybevételéhez kitöltendő Nyilatkozathoz, Változásbejelentéshez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20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20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irattározási szabályainak megfelelően a munkáltató vagy az illetékes illetmény számfejtőhely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201</w:t>
      </w:r>
      <w:r w:rsidR="00284406">
        <w:rPr>
          <w:rFonts w:ascii="Garamond" w:hAnsi="Garamond" w:cs="Times"/>
        </w:rPr>
        <w:t>9</w:t>
      </w:r>
      <w:r w:rsidR="006331E6" w:rsidRPr="00827B68">
        <w:rPr>
          <w:rFonts w:ascii="Garamond" w:hAnsi="Garamond" w:cs="Times"/>
        </w:rPr>
        <w:t>. január 1-jét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</w:t>
      </w:r>
      <w:r w:rsidRPr="001A572F">
        <w:rPr>
          <w:rFonts w:ascii="Garamond" w:hAnsi="Garamond" w:cs="Times"/>
        </w:rPr>
        <w:t xml:space="preserve">költségvetési szervnél jogviszonyban álló olyan foglalkoztatott, aki közalkalmazottként, köztisztviselőként, kormánytisztviselőként, </w:t>
      </w:r>
      <w:r w:rsidR="001A572F" w:rsidRPr="001A572F">
        <w:rPr>
          <w:rFonts w:ascii="Garamond" w:hAnsi="Garamond" w:cs="Times"/>
        </w:rPr>
        <w:t xml:space="preserve">közszolgálati tisztviselőként, </w:t>
      </w:r>
      <w:r w:rsidRPr="001A572F">
        <w:rPr>
          <w:rFonts w:ascii="Garamond" w:hAnsi="Garamond" w:cs="Times"/>
        </w:rPr>
        <w:t xml:space="preserve">fegyveres szerv hivatalos állományú tagjaként, </w:t>
      </w:r>
      <w:r w:rsidR="00284406" w:rsidRPr="001A572F">
        <w:rPr>
          <w:rFonts w:ascii="Garamond" w:hAnsi="Garamond" w:cs="Times"/>
        </w:rPr>
        <w:t xml:space="preserve">rendvédelmi alkalmazottként, </w:t>
      </w:r>
      <w:r w:rsidRPr="001A572F">
        <w:rPr>
          <w:rFonts w:ascii="Garamond" w:hAnsi="Garamond" w:cs="Times"/>
        </w:rPr>
        <w:t xml:space="preserve">a Magyar Honvédség hivatásos és szerződéses állományú tagjaként, </w:t>
      </w:r>
      <w:r w:rsidR="00284406" w:rsidRPr="001A572F">
        <w:rPr>
          <w:rFonts w:ascii="Garamond" w:hAnsi="Garamond" w:cs="Times"/>
        </w:rPr>
        <w:t xml:space="preserve">honvédelmi alkalmazottként, </w:t>
      </w:r>
      <w:r w:rsidRPr="001A572F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(3)],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aa)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eltartott(ak)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 xml:space="preserve"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eltartott(ak)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–a jogosultság ellenére–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a)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közalkalmazottak jogállásáról szóló törvény</w:t>
      </w:r>
      <w:r w:rsidRPr="00024AE0">
        <w:rPr>
          <w:rFonts w:ascii="Garamond" w:hAnsi="Garamond" w:cs="Times"/>
          <w:iCs/>
        </w:rPr>
        <w:t xml:space="preserve"> 66. §-a és 79/E. §-a szerinti illetményt (beleértve a garantált illetmény feletti, a munkáltató döntése alapján megállapított illetményrészt is), továbbá a közalkalmazott számára a 70–75. §-a alapján megállapított illetménypótlékot,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b) </w:t>
      </w:r>
      <w:r w:rsidR="00024AE0" w:rsidRPr="00024AE0">
        <w:rPr>
          <w:rFonts w:ascii="Garamond" w:hAnsi="Garamond" w:cs="Times"/>
          <w:iCs/>
        </w:rPr>
        <w:t>a közszolgálati tisztviselőkről szóló törvény</w:t>
      </w:r>
      <w:r w:rsidRPr="00024AE0">
        <w:rPr>
          <w:rFonts w:ascii="Garamond" w:hAnsi="Garamond" w:cs="Times"/>
          <w:iCs/>
        </w:rPr>
        <w:t xml:space="preserve"> 131. § (2) bekezdése szerinti – a Kttv. 133. § (3)–(6) bekezdése szerinti alapilletmény-eltérítés figyelembevételével számított – illetményt, valamint a </w:t>
      </w:r>
      <w:r w:rsidRPr="00024AE0">
        <w:rPr>
          <w:rFonts w:ascii="Garamond" w:hAnsi="Garamond" w:cs="Times"/>
          <w:iCs/>
        </w:rPr>
        <w:lastRenderedPageBreak/>
        <w:t xml:space="preserve">kormányzati ügykezelők esetén 208. §, illetve a közszolgálati ügykezelők esetén a </w:t>
      </w:r>
      <w:r w:rsidR="00024AE0" w:rsidRPr="00024AE0">
        <w:rPr>
          <w:rFonts w:ascii="Garamond" w:hAnsi="Garamond" w:cs="Times"/>
          <w:iCs/>
        </w:rPr>
        <w:t>242. §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c)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kormányzati igazgatásról szóló törvény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C26520" w:rsidRDefault="00F47B65" w:rsidP="00F47B65">
      <w:pPr>
        <w:spacing w:before="160" w:after="20"/>
        <w:ind w:firstLine="280"/>
        <w:jc w:val="both"/>
        <w:rPr>
          <w:rFonts w:ascii="Garamond" w:hAnsi="Garamond" w:cs="Times"/>
        </w:rPr>
      </w:pPr>
      <w:r w:rsidRPr="00C26520">
        <w:rPr>
          <w:rFonts w:ascii="Garamond" w:hAnsi="Garamond" w:cs="Times"/>
          <w:i/>
          <w:iCs/>
        </w:rPr>
        <w:t xml:space="preserve">d) </w:t>
      </w:r>
      <w:r w:rsidRPr="00C26520">
        <w:rPr>
          <w:rFonts w:ascii="Garamond" w:hAnsi="Garamond" w:cs="Times"/>
        </w:rPr>
        <w:t xml:space="preserve">a </w:t>
      </w:r>
      <w:r w:rsidR="00C26520" w:rsidRPr="00C26520">
        <w:rPr>
          <w:rFonts w:ascii="Garamond" w:hAnsi="Garamond" w:cs="Times"/>
        </w:rPr>
        <w:t>különleges jogállású szervekről és az általuk foglalkoztatottak jogállásáról</w:t>
      </w:r>
      <w:r w:rsidRPr="00C26520">
        <w:rPr>
          <w:rFonts w:ascii="Garamond" w:hAnsi="Garamond" w:cs="Times"/>
        </w:rPr>
        <w:t xml:space="preserve"> </w:t>
      </w:r>
      <w:r w:rsidR="00C26520">
        <w:rPr>
          <w:rFonts w:ascii="Garamond" w:hAnsi="Garamond" w:cs="Times"/>
        </w:rPr>
        <w:t xml:space="preserve">szóló törvény </w:t>
      </w:r>
      <w:r w:rsidRPr="00C26520">
        <w:rPr>
          <w:rFonts w:ascii="Garamond" w:hAnsi="Garamond" w:cs="Times"/>
        </w:rPr>
        <w:t>szerinti illetményt,</w:t>
      </w:r>
    </w:p>
    <w:p w:rsid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 w:rsidRPr="00F47B65">
        <w:rPr>
          <w:rFonts w:ascii="Garamond" w:hAnsi="Garamond" w:cs="Times"/>
          <w:i/>
          <w:iCs/>
        </w:rPr>
        <w:t xml:space="preserve">e) </w:t>
      </w:r>
      <w:r w:rsidRPr="00024AE0">
        <w:rPr>
          <w:rFonts w:ascii="Garamond" w:hAnsi="Garamond" w:cs="Times"/>
          <w:iCs/>
        </w:rPr>
        <w:t xml:space="preserve">a hivatásos foglalkoztatottak esetében a </w:t>
      </w:r>
      <w:r w:rsidR="00024AE0" w:rsidRPr="00024AE0">
        <w:rPr>
          <w:rFonts w:ascii="Garamond" w:hAnsi="Garamond" w:cs="Times"/>
        </w:rPr>
        <w:t>fegyveres szervek hivatásos állományú tagjainak szolgálati viszonyáról szóló törvény</w:t>
      </w:r>
      <w:r w:rsidRPr="00024AE0">
        <w:rPr>
          <w:rFonts w:ascii="Garamond" w:hAnsi="Garamond" w:cs="Times"/>
          <w:iCs/>
        </w:rPr>
        <w:t xml:space="preserve"> 168. §-a szerinti távolléti díj alapját képező illetményt, a rendvédelmi alkalmazottak esetében a </w:t>
      </w:r>
      <w:r w:rsidR="00024AE0">
        <w:rPr>
          <w:rFonts w:ascii="Garamond" w:hAnsi="Garamond" w:cs="Times"/>
          <w:iCs/>
        </w:rPr>
        <w:t xml:space="preserve">289. § </w:t>
      </w:r>
      <w:r w:rsidRPr="00024AE0">
        <w:rPr>
          <w:rFonts w:ascii="Garamond" w:hAnsi="Garamond" w:cs="Times"/>
          <w:iCs/>
        </w:rPr>
        <w:t>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f) </w:t>
      </w:r>
      <w:r w:rsidRPr="00024AE0">
        <w:rPr>
          <w:rFonts w:ascii="Garamond" w:hAnsi="Garamond" w:cs="Times"/>
          <w:iCs/>
        </w:rPr>
        <w:t>a Nemzeti Adó- és Vámhivatalról szóló 2010. évi CXXII. törvény 20/D. § (2) bekezdése szerinti illetményt,</w:t>
      </w:r>
    </w:p>
    <w:p w:rsidR="00F47B65" w:rsidRPr="00024AE0" w:rsidRDefault="00024AE0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 xml:space="preserve">g) </w:t>
      </w:r>
      <w:r w:rsidRPr="00024AE0">
        <w:rPr>
          <w:rFonts w:ascii="Garamond" w:hAnsi="Garamond" w:cs="Times"/>
          <w:iCs/>
        </w:rPr>
        <w:t>a honvédek jogállásáról szóló törvény</w:t>
      </w:r>
      <w:r w:rsidR="00F47B65" w:rsidRPr="00024AE0">
        <w:rPr>
          <w:rFonts w:ascii="Garamond" w:hAnsi="Garamond" w:cs="Times"/>
          <w:iCs/>
        </w:rPr>
        <w:t xml:space="preserve"> 2. § 41. pontja szerinti távolléti díj alapját képező illetményt,</w:t>
      </w:r>
    </w:p>
    <w:p w:rsidR="00F47B65" w:rsidRDefault="00024AE0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>
        <w:rPr>
          <w:rFonts w:ascii="Garamond" w:hAnsi="Garamond" w:cs="Times"/>
          <w:i/>
          <w:iCs/>
        </w:rPr>
        <w:t xml:space="preserve">h) </w:t>
      </w:r>
      <w:r w:rsidRPr="00024AE0">
        <w:rPr>
          <w:rFonts w:ascii="Garamond" w:hAnsi="Garamond" w:cs="Times"/>
        </w:rPr>
        <w:t>a honvédelmi alkalmazottak jogállásáról szóló törvény</w:t>
      </w:r>
      <w:r w:rsidR="00F47B65" w:rsidRPr="00024AE0">
        <w:rPr>
          <w:rFonts w:ascii="Garamond" w:hAnsi="Garamond" w:cs="Times"/>
          <w:iCs/>
        </w:rPr>
        <w:t xml:space="preserve"> 67. §-a szerinti illetményt (beleértve a garantált illetmény feletti, a munkáltató döntése alapján megállapított illetményrészt is), a honvédelmi alkalmazott számára a </w:t>
      </w:r>
      <w:r>
        <w:rPr>
          <w:rFonts w:ascii="Garamond" w:hAnsi="Garamond" w:cs="Times"/>
          <w:iCs/>
        </w:rPr>
        <w:t>70–74. §</w:t>
      </w:r>
      <w:r w:rsidR="00F47B65" w:rsidRPr="00024AE0">
        <w:rPr>
          <w:rFonts w:ascii="Garamond" w:hAnsi="Garamond" w:cs="Times"/>
          <w:iCs/>
        </w:rPr>
        <w:t xml:space="preserve"> alapján megállapított illetménypótlékot, továbbá a </w:t>
      </w:r>
      <w:r>
        <w:rPr>
          <w:rFonts w:ascii="Garamond" w:hAnsi="Garamond" w:cs="Times"/>
          <w:iCs/>
        </w:rPr>
        <w:t>75. </w:t>
      </w:r>
      <w:r w:rsidR="00F47B65" w:rsidRPr="00024AE0">
        <w:rPr>
          <w:rFonts w:ascii="Garamond" w:hAnsi="Garamond" w:cs="Times"/>
          <w:iCs/>
        </w:rPr>
        <w:t>§ alapján megállapított honvédelmi illetménykiegészítést,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i) </w:t>
      </w:r>
      <w:r w:rsidRPr="00024AE0">
        <w:rPr>
          <w:rFonts w:ascii="Garamond" w:hAnsi="Garamond" w:cs="Times"/>
          <w:iCs/>
        </w:rPr>
        <w:t xml:space="preserve">az </w:t>
      </w:r>
      <w:r w:rsidR="00024AE0" w:rsidRPr="00024AE0">
        <w:rPr>
          <w:rFonts w:ascii="Garamond" w:hAnsi="Garamond" w:cs="Times"/>
        </w:rPr>
        <w:t>az igazságügyi alkalmazottak szolgálati jogviszonyáról szóló törvény</w:t>
      </w:r>
      <w:r w:rsidRPr="00024AE0">
        <w:rPr>
          <w:rFonts w:ascii="Garamond" w:hAnsi="Garamond" w:cs="Times"/>
          <w:iCs/>
        </w:rPr>
        <w:t xml:space="preserve"> 96. § (1) bekezdése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j) </w:t>
      </w:r>
      <w:r w:rsidR="00024AE0" w:rsidRPr="00024AE0">
        <w:rPr>
          <w:rFonts w:ascii="Garamond" w:hAnsi="Garamond" w:cs="Times"/>
        </w:rPr>
        <w:t>a legfőbb ügyész, az ügyészek és más ügyészségi alkalmazottak jogállásáról és az ügyészi életpályáról szóló törvény</w:t>
      </w:r>
      <w:r w:rsidR="00024AE0" w:rsidRPr="00024AE0">
        <w:rPr>
          <w:rFonts w:ascii="Garamond" w:hAnsi="Garamond" w:cs="Times"/>
          <w:iCs/>
        </w:rPr>
        <w:t xml:space="preserve"> </w:t>
      </w:r>
      <w:r w:rsidRPr="00024AE0">
        <w:rPr>
          <w:rFonts w:ascii="Garamond" w:hAnsi="Garamond" w:cs="Times"/>
          <w:iCs/>
        </w:rPr>
        <w:t>59. § (2) bekezdése, 114. § (1) bekezdése és 135. § (1) bekezdése szerinti illetményt,</w:t>
      </w:r>
    </w:p>
    <w:p w:rsidR="00F47B65" w:rsidRP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k) </w:t>
      </w:r>
      <w:r>
        <w:rPr>
          <w:rFonts w:ascii="Garamond" w:hAnsi="Garamond" w:cs="Times"/>
          <w:iCs/>
        </w:rPr>
        <w:t>a</w:t>
      </w:r>
      <w:r w:rsidRPr="00F47B65">
        <w:rPr>
          <w:rFonts w:ascii="Garamond" w:hAnsi="Garamond" w:cs="Times"/>
          <w:iCs/>
        </w:rPr>
        <w:t xml:space="preserve"> </w:t>
      </w:r>
      <w:r w:rsidRPr="00827B68">
        <w:rPr>
          <w:rFonts w:ascii="Garamond" w:hAnsi="Garamond" w:cs="Times"/>
        </w:rPr>
        <w:t>munka törvénykönyve</w:t>
      </w:r>
      <w:r w:rsidRPr="00F47B65">
        <w:rPr>
          <w:rFonts w:ascii="Garamond" w:hAnsi="Garamond" w:cs="Times"/>
          <w:iCs/>
        </w:rPr>
        <w:t xml:space="preserve"> hatálya alá tartozó, a közcélú tevékenységet folytató egyházi intézményeknél és az országos nemzetiségi önkormányzat hivatalánál, illetve az országos és a helyi nemzetiségi önkormányzat költségvetési szerveinél foglalkoztatott munkavállalók alapbérét és rendszeres bérpótlékait,</w:t>
      </w:r>
    </w:p>
    <w:p w:rsidR="00F47B65" w:rsidRPr="00827B68" w:rsidRDefault="00F47B65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l</w:t>
      </w:r>
      <w:r w:rsidRPr="00827B68">
        <w:rPr>
          <w:rFonts w:ascii="Garamond" w:hAnsi="Garamond" w:cs="Times"/>
          <w:i/>
          <w:iCs/>
        </w:rPr>
        <w:t>)</w:t>
      </w:r>
      <w:r w:rsidRPr="00827B68">
        <w:rPr>
          <w:rFonts w:ascii="Garamond" w:hAnsi="Garamond" w:cs="Times"/>
        </w:rPr>
        <w:t xml:space="preserve"> a Gyvt. </w:t>
      </w:r>
      <w:r w:rsidRPr="006331E6">
        <w:rPr>
          <w:rFonts w:ascii="Garamond" w:hAnsi="Garamond" w:cs="Times"/>
        </w:rPr>
        <w:t>66/H. § (3)-(5) bekezdés szerinti díjazást</w:t>
      </w:r>
      <w:r w:rsidRPr="00827B68">
        <w:rPr>
          <w:rFonts w:ascii="Garamond" w:hAnsi="Garamond" w:cs="Times"/>
        </w:rPr>
        <w:t>,</w:t>
      </w:r>
    </w:p>
    <w:p w:rsidR="00F47B65" w:rsidRDefault="00F47B65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m</w:t>
      </w:r>
      <w:r w:rsidRPr="00827B68">
        <w:rPr>
          <w:rFonts w:ascii="Garamond" w:hAnsi="Garamond" w:cs="Times"/>
          <w:i/>
          <w:iCs/>
        </w:rPr>
        <w:t>)</w:t>
      </w:r>
      <w:r w:rsidRPr="00827B68">
        <w:rPr>
          <w:rFonts w:ascii="Garamond" w:hAnsi="Garamond" w:cs="Times"/>
        </w:rPr>
        <w:t xml:space="preserve"> a költségvetési szervként működő </w:t>
      </w:r>
      <w:r w:rsidRPr="006331E6">
        <w:rPr>
          <w:rFonts w:ascii="Garamond" w:hAnsi="Garamond" w:cs="Times"/>
        </w:rPr>
        <w:t xml:space="preserve">köznevelési </w:t>
      </w:r>
      <w:r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>
        <w:rPr>
          <w:rFonts w:ascii="Garamond" w:hAnsi="Garamond" w:cs="Times"/>
        </w:rPr>
        <w:t>megállapított illetménypótlékot, valamint</w:t>
      </w:r>
    </w:p>
    <w:p w:rsidR="00F47B65" w:rsidRPr="004D7EA9" w:rsidRDefault="00F47B65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n</w:t>
      </w:r>
      <w:r w:rsidRPr="004D7EA9">
        <w:rPr>
          <w:rFonts w:ascii="Garamond" w:hAnsi="Garamond" w:cs="Times"/>
          <w:i/>
        </w:rPr>
        <w:t>)</w:t>
      </w:r>
      <w:r w:rsidRPr="004D7EA9">
        <w:rPr>
          <w:rFonts w:ascii="Garamond" w:hAnsi="Garamond" w:cs="Times"/>
        </w:rPr>
        <w:t> a külképviseletekről és a tartós külszolgálatról szóló törvény szerinti devizailletményt.</w:t>
      </w:r>
    </w:p>
    <w:p w:rsidR="00F47B65" w:rsidRDefault="00F47B65" w:rsidP="004D7EA9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201</w:t>
      </w:r>
      <w:r w:rsidR="00A40E60">
        <w:rPr>
          <w:rFonts w:ascii="Garamond" w:hAnsi="Garamond" w:cs="Times"/>
        </w:rPr>
        <w:t>9</w:t>
      </w:r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időpont(ok)ban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illetményemelés összegének a kipontozott hely(ek)re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6F6904">
      <w:pPr>
        <w:spacing w:before="160"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§-a szerinti illetmény, beleértve a Kjt. szerint garantált illetmény feletti, a munkáltató döntése alapján megállapított illetményrészt is,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Iasz.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6F6904">
      <w:pPr>
        <w:spacing w:after="26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</w:t>
      </w:r>
      <w:r w:rsidR="006F6904" w:rsidRPr="0013058D">
        <w:rPr>
          <w:rFonts w:ascii="Garamond" w:hAnsi="Garamond" w:cs="Times"/>
        </w:rPr>
        <w:lastRenderedPageBreak/>
        <w:t xml:space="preserve">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6F6904">
      <w:pPr>
        <w:spacing w:after="26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akkor az 1. pontban a „nem” választ kell megjelölni.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kell arról, hogy 2011. január 1-jén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§-a szerint, az egyes adótörvények és azzal összefüggő egyéb törvények módosításáról szóló 2011. évi CLVI. törvény 460. §-ában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6834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07" w:rsidRDefault="002F1C07" w:rsidP="00A31A4B">
      <w:r>
        <w:separator/>
      </w:r>
    </w:p>
  </w:endnote>
  <w:endnote w:type="continuationSeparator" w:id="0">
    <w:p w:rsidR="002F1C07" w:rsidRDefault="002F1C07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07" w:rsidRDefault="002F1C07" w:rsidP="00A31A4B">
      <w:r>
        <w:separator/>
      </w:r>
    </w:p>
  </w:footnote>
  <w:footnote w:type="continuationSeparator" w:id="0">
    <w:p w:rsidR="002F1C07" w:rsidRDefault="002F1C07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70275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28">
          <w:rPr>
            <w:noProof/>
          </w:rPr>
          <w:t>2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4"/>
    <w:rsid w:val="0000440E"/>
    <w:rsid w:val="00011D22"/>
    <w:rsid w:val="00024AE0"/>
    <w:rsid w:val="00054D5E"/>
    <w:rsid w:val="00084CB9"/>
    <w:rsid w:val="00112D35"/>
    <w:rsid w:val="00113CF2"/>
    <w:rsid w:val="0013058D"/>
    <w:rsid w:val="001A572F"/>
    <w:rsid w:val="001E76DF"/>
    <w:rsid w:val="00207084"/>
    <w:rsid w:val="00283261"/>
    <w:rsid w:val="00284406"/>
    <w:rsid w:val="00291ADD"/>
    <w:rsid w:val="002C4910"/>
    <w:rsid w:val="002F1C07"/>
    <w:rsid w:val="00314182"/>
    <w:rsid w:val="003178CC"/>
    <w:rsid w:val="00360996"/>
    <w:rsid w:val="004132EA"/>
    <w:rsid w:val="00483BD9"/>
    <w:rsid w:val="004D7EA9"/>
    <w:rsid w:val="004F2E4A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210BE"/>
    <w:rsid w:val="0079678A"/>
    <w:rsid w:val="00861577"/>
    <w:rsid w:val="008E5122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5540B"/>
    <w:rsid w:val="00BB054E"/>
    <w:rsid w:val="00BB1828"/>
    <w:rsid w:val="00C26520"/>
    <w:rsid w:val="00C641AF"/>
    <w:rsid w:val="00C93B5E"/>
    <w:rsid w:val="00CC755C"/>
    <w:rsid w:val="00D847B0"/>
    <w:rsid w:val="00D92A17"/>
    <w:rsid w:val="00DF5431"/>
    <w:rsid w:val="00DF73FB"/>
    <w:rsid w:val="00E21DCC"/>
    <w:rsid w:val="00E84CF5"/>
    <w:rsid w:val="00F37346"/>
    <w:rsid w:val="00F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0300A-1B1E-4788-9E27-F287D20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2855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Asztalosné Kolyvek Andrea</cp:lastModifiedBy>
  <cp:revision>2</cp:revision>
  <dcterms:created xsi:type="dcterms:W3CDTF">2020-01-14T07:01:00Z</dcterms:created>
  <dcterms:modified xsi:type="dcterms:W3CDTF">2020-01-14T07:01:00Z</dcterms:modified>
</cp:coreProperties>
</file>