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37" w:rsidRDefault="000A2437" w:rsidP="00EB7913">
      <w:pPr>
        <w:pStyle w:val="Nincstrkz"/>
        <w:jc w:val="center"/>
        <w:rPr>
          <w:rFonts w:ascii="Garamond" w:hAnsi="Garamond"/>
          <w:sz w:val="40"/>
        </w:rPr>
      </w:pPr>
      <w:r w:rsidRPr="00EB7913">
        <w:rPr>
          <w:rFonts w:ascii="Garamond" w:hAnsi="Garamond"/>
          <w:sz w:val="40"/>
        </w:rPr>
        <w:t>NYÍREGYHÁZI EGYETEM</w:t>
      </w:r>
    </w:p>
    <w:p w:rsidR="000A2437" w:rsidRPr="00EB7913" w:rsidRDefault="000A2437" w:rsidP="00EB791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0A2437" w:rsidRDefault="000A2437" w:rsidP="00EB7913">
      <w:pPr>
        <w:pStyle w:val="Nincstrkz"/>
        <w:jc w:val="center"/>
        <w:rPr>
          <w:rFonts w:ascii="Garamond" w:hAnsi="Garamond"/>
          <w:b/>
          <w:sz w:val="40"/>
        </w:rPr>
      </w:pPr>
      <w:r w:rsidRPr="00EB7913">
        <w:rPr>
          <w:rFonts w:ascii="Garamond" w:hAnsi="Garamond"/>
          <w:b/>
          <w:sz w:val="40"/>
        </w:rPr>
        <w:t>Gazdálkodástudományi Intézet</w:t>
      </w:r>
    </w:p>
    <w:p w:rsidR="000A2437" w:rsidRPr="00EB7913" w:rsidRDefault="000A2437" w:rsidP="00EB791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0A2437" w:rsidRDefault="000A2437" w:rsidP="00EB7913">
      <w:pPr>
        <w:pStyle w:val="Nincstrkz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Fog</w:t>
      </w:r>
      <w:r w:rsidRPr="00EB7913">
        <w:rPr>
          <w:rFonts w:ascii="Times New Roman" w:hAnsi="Times New Roman"/>
          <w:b/>
          <w:sz w:val="28"/>
          <w:szCs w:val="24"/>
        </w:rPr>
        <w:t>lalkoztatási terv</w:t>
      </w:r>
    </w:p>
    <w:p w:rsidR="000A2437" w:rsidRPr="00EB7913" w:rsidRDefault="000A2437" w:rsidP="00EB7913">
      <w:pPr>
        <w:pStyle w:val="Nincstrkz"/>
        <w:jc w:val="center"/>
        <w:rPr>
          <w:rFonts w:ascii="Times New Roman" w:hAnsi="Times New Roman"/>
          <w:b/>
          <w:sz w:val="28"/>
          <w:szCs w:val="24"/>
        </w:rPr>
      </w:pPr>
    </w:p>
    <w:p w:rsidR="000A2437" w:rsidRPr="00464B4B" w:rsidRDefault="003D24F4" w:rsidP="003D24F4">
      <w:pPr>
        <w:pStyle w:val="Nincstrkz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Gazdasági jog</w:t>
      </w:r>
    </w:p>
    <w:p w:rsidR="000A2437" w:rsidRPr="00EB7913" w:rsidRDefault="000A2437" w:rsidP="00EB7913">
      <w:pPr>
        <w:pStyle w:val="Nincstrkz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1"/>
        <w:gridCol w:w="4264"/>
        <w:gridCol w:w="3731"/>
      </w:tblGrid>
      <w:tr w:rsidR="000A2437" w:rsidRPr="00B43311" w:rsidTr="00B43311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8076" w:type="dxa"/>
            <w:gridSpan w:val="2"/>
          </w:tcPr>
          <w:p w:rsidR="000A2437" w:rsidRPr="00A64660" w:rsidRDefault="003D24F4" w:rsidP="00B43311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BAI0085</w:t>
            </w:r>
          </w:p>
        </w:tc>
      </w:tr>
      <w:tr w:rsidR="000A2437" w:rsidRPr="00B43311" w:rsidTr="00B43311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8076" w:type="dxa"/>
            <w:gridSpan w:val="2"/>
          </w:tcPr>
          <w:p w:rsidR="000A2437" w:rsidRPr="00B43311" w:rsidRDefault="00A64660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I</w:t>
            </w:r>
            <w:r w:rsidR="00214D17">
              <w:rPr>
                <w:rFonts w:ascii="Garamond" w:hAnsi="Garamond"/>
                <w:b/>
                <w:sz w:val="40"/>
              </w:rPr>
              <w:t>I</w:t>
            </w:r>
            <w:r>
              <w:rPr>
                <w:rFonts w:ascii="Garamond" w:hAnsi="Garamond"/>
                <w:b/>
                <w:sz w:val="40"/>
              </w:rPr>
              <w:t>.</w:t>
            </w:r>
          </w:p>
        </w:tc>
      </w:tr>
      <w:tr w:rsidR="000A2437" w:rsidRPr="00B43311" w:rsidTr="00B43311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8076" w:type="dxa"/>
            <w:gridSpan w:val="2"/>
          </w:tcPr>
          <w:p w:rsidR="000A2437" w:rsidRPr="00B43311" w:rsidRDefault="00620FB3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3</w:t>
            </w:r>
          </w:p>
        </w:tc>
      </w:tr>
      <w:tr w:rsidR="000A2437" w:rsidRPr="00B43311" w:rsidTr="00B43311">
        <w:trPr>
          <w:trHeight w:val="840"/>
        </w:trPr>
        <w:tc>
          <w:tcPr>
            <w:tcW w:w="2465" w:type="dxa"/>
          </w:tcPr>
          <w:p w:rsidR="000A2437" w:rsidRPr="00B43311" w:rsidRDefault="000A2437" w:rsidP="00F24C9D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Heti kontakt óraszám (előadás+gyakorlat)</w:t>
            </w:r>
          </w:p>
        </w:tc>
        <w:tc>
          <w:tcPr>
            <w:tcW w:w="8076" w:type="dxa"/>
            <w:gridSpan w:val="2"/>
          </w:tcPr>
          <w:p w:rsidR="000A2437" w:rsidRPr="00A64660" w:rsidRDefault="00A64660" w:rsidP="00B43311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2+0</w:t>
            </w:r>
          </w:p>
        </w:tc>
      </w:tr>
      <w:tr w:rsidR="000A2437" w:rsidRPr="00B43311" w:rsidTr="00B43311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Félévi követelmény</w:t>
            </w:r>
          </w:p>
        </w:tc>
        <w:tc>
          <w:tcPr>
            <w:tcW w:w="8076" w:type="dxa"/>
            <w:gridSpan w:val="2"/>
          </w:tcPr>
          <w:p w:rsidR="000A2437" w:rsidRPr="00B43311" w:rsidRDefault="00A64660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kollokvium</w:t>
            </w:r>
          </w:p>
        </w:tc>
      </w:tr>
      <w:tr w:rsidR="000A2437" w:rsidRPr="00B43311" w:rsidTr="00B43311">
        <w:trPr>
          <w:trHeight w:val="454"/>
        </w:trPr>
        <w:tc>
          <w:tcPr>
            <w:tcW w:w="10541" w:type="dxa"/>
            <w:gridSpan w:val="3"/>
          </w:tcPr>
          <w:p w:rsidR="000A2437" w:rsidRPr="00B43311" w:rsidRDefault="000A2437" w:rsidP="00B43311">
            <w:pPr>
              <w:pStyle w:val="Nincstrkz"/>
              <w:jc w:val="center"/>
              <w:rPr>
                <w:rFonts w:ascii="Garamond" w:hAnsi="Garamond"/>
                <w:b/>
                <w:sz w:val="40"/>
              </w:rPr>
            </w:pPr>
            <w:r w:rsidRPr="00B43311">
              <w:rPr>
                <w:rFonts w:ascii="Garamond" w:hAnsi="Garamond"/>
                <w:b/>
                <w:sz w:val="40"/>
              </w:rPr>
              <w:t xml:space="preserve">           A tantárgyi program félévi tartalma</w:t>
            </w:r>
          </w:p>
        </w:tc>
      </w:tr>
      <w:tr w:rsidR="000A2437" w:rsidRPr="00B43311" w:rsidTr="00642BCD">
        <w:trPr>
          <w:trHeight w:val="454"/>
        </w:trPr>
        <w:tc>
          <w:tcPr>
            <w:tcW w:w="6768" w:type="dxa"/>
            <w:gridSpan w:val="2"/>
          </w:tcPr>
          <w:p w:rsidR="000A2437" w:rsidRPr="00B43311" w:rsidRDefault="000A2437" w:rsidP="00B43311">
            <w:pPr>
              <w:pStyle w:val="Nincstrkz"/>
              <w:jc w:val="center"/>
              <w:rPr>
                <w:rFonts w:ascii="Garamond" w:hAnsi="Garamond"/>
                <w:b/>
                <w:sz w:val="40"/>
              </w:rPr>
            </w:pPr>
            <w:r w:rsidRPr="00B43311">
              <w:rPr>
                <w:rFonts w:ascii="Garamond" w:hAnsi="Garamond"/>
                <w:b/>
                <w:sz w:val="40"/>
              </w:rPr>
              <w:t xml:space="preserve">                      Előadás</w:t>
            </w:r>
          </w:p>
        </w:tc>
        <w:tc>
          <w:tcPr>
            <w:tcW w:w="3773" w:type="dxa"/>
          </w:tcPr>
          <w:p w:rsidR="000A2437" w:rsidRPr="00B43311" w:rsidRDefault="000A2437" w:rsidP="00B43311">
            <w:pPr>
              <w:pStyle w:val="Nincstrkz"/>
              <w:jc w:val="center"/>
              <w:rPr>
                <w:rFonts w:ascii="Garamond" w:hAnsi="Garamond"/>
                <w:b/>
                <w:sz w:val="40"/>
              </w:rPr>
            </w:pPr>
            <w:r w:rsidRPr="00B43311">
              <w:rPr>
                <w:rFonts w:ascii="Garamond" w:hAnsi="Garamond"/>
                <w:b/>
                <w:sz w:val="40"/>
              </w:rPr>
              <w:t>Gyakorlat</w:t>
            </w:r>
          </w:p>
        </w:tc>
      </w:tr>
      <w:tr w:rsidR="000A2437" w:rsidRPr="00B43311" w:rsidTr="00642BCD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1. oktatási hét</w:t>
            </w:r>
          </w:p>
        </w:tc>
        <w:tc>
          <w:tcPr>
            <w:tcW w:w="4303" w:type="dxa"/>
          </w:tcPr>
          <w:p w:rsidR="000A2437" w:rsidRPr="00F611E4" w:rsidRDefault="00A64660" w:rsidP="00B43311">
            <w:pPr>
              <w:pStyle w:val="Nincstrkz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1E4">
              <w:rPr>
                <w:rFonts w:ascii="Times New Roman" w:hAnsi="Times New Roman"/>
                <w:sz w:val="26"/>
                <w:szCs w:val="26"/>
              </w:rPr>
              <w:t>Alapfogalmak, jog lényege fogalmi elemei. A jog megjelenési formái.</w:t>
            </w:r>
          </w:p>
        </w:tc>
        <w:tc>
          <w:tcPr>
            <w:tcW w:w="3773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0A2437" w:rsidRPr="00B43311" w:rsidTr="00642BCD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2. oktatási hét</w:t>
            </w:r>
          </w:p>
        </w:tc>
        <w:tc>
          <w:tcPr>
            <w:tcW w:w="4303" w:type="dxa"/>
          </w:tcPr>
          <w:p w:rsidR="000A2437" w:rsidRPr="00F611E4" w:rsidRDefault="00A64660" w:rsidP="00B43311">
            <w:pPr>
              <w:pStyle w:val="Nincstrkz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1E4">
              <w:rPr>
                <w:rFonts w:ascii="Times New Roman" w:hAnsi="Times New Roman"/>
                <w:sz w:val="26"/>
                <w:szCs w:val="26"/>
              </w:rPr>
              <w:t xml:space="preserve">Jogforrások (belső, külső)- jogalkotó szervek, jogszabályok. A jogforrási </w:t>
            </w:r>
            <w:proofErr w:type="gramStart"/>
            <w:r w:rsidRPr="00F611E4">
              <w:rPr>
                <w:rFonts w:ascii="Times New Roman" w:hAnsi="Times New Roman"/>
                <w:sz w:val="26"/>
                <w:szCs w:val="26"/>
              </w:rPr>
              <w:t>hierarchia</w:t>
            </w:r>
            <w:proofErr w:type="gramEnd"/>
            <w:r w:rsidRPr="00F611E4">
              <w:rPr>
                <w:rFonts w:ascii="Times New Roman" w:hAnsi="Times New Roman"/>
                <w:sz w:val="26"/>
                <w:szCs w:val="26"/>
              </w:rPr>
              <w:t xml:space="preserve"> felépítése, jelentősége</w:t>
            </w:r>
          </w:p>
        </w:tc>
        <w:tc>
          <w:tcPr>
            <w:tcW w:w="3773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0A2437" w:rsidRPr="00B43311" w:rsidTr="00642BCD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3. oktatási hét</w:t>
            </w:r>
          </w:p>
        </w:tc>
        <w:tc>
          <w:tcPr>
            <w:tcW w:w="4303" w:type="dxa"/>
          </w:tcPr>
          <w:p w:rsidR="000A2437" w:rsidRPr="00F611E4" w:rsidRDefault="00A64660" w:rsidP="00B43311">
            <w:pPr>
              <w:pStyle w:val="Nincstrkz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1E4">
              <w:rPr>
                <w:rFonts w:ascii="Times New Roman" w:hAnsi="Times New Roman"/>
                <w:sz w:val="26"/>
                <w:szCs w:val="26"/>
              </w:rPr>
              <w:t>A jogforrások érvényessége területi időbeli személyi hatály. Visszaható hatály tilalma.</w:t>
            </w:r>
          </w:p>
        </w:tc>
        <w:tc>
          <w:tcPr>
            <w:tcW w:w="3773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0A2437" w:rsidRPr="00B43311" w:rsidTr="00642BCD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4. oktatási hét</w:t>
            </w:r>
          </w:p>
        </w:tc>
        <w:tc>
          <w:tcPr>
            <w:tcW w:w="4303" w:type="dxa"/>
          </w:tcPr>
          <w:p w:rsidR="000A2437" w:rsidRPr="00F611E4" w:rsidRDefault="00A64660" w:rsidP="00B43311">
            <w:pPr>
              <w:pStyle w:val="Nincstrkz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1E4">
              <w:rPr>
                <w:rFonts w:ascii="Times New Roman" w:hAnsi="Times New Roman"/>
                <w:sz w:val="26"/>
                <w:szCs w:val="26"/>
              </w:rPr>
              <w:t>A jogi norma fogalma szerkezete. A jogviszony fogalma tartalma. Közjog magánjog elválasztása. A jogrendszer tagozódása: jogágak bemutatása</w:t>
            </w:r>
          </w:p>
        </w:tc>
        <w:tc>
          <w:tcPr>
            <w:tcW w:w="3773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0A2437" w:rsidRPr="00B43311" w:rsidTr="00642BCD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5. oktatási hét</w:t>
            </w:r>
          </w:p>
        </w:tc>
        <w:tc>
          <w:tcPr>
            <w:tcW w:w="4303" w:type="dxa"/>
          </w:tcPr>
          <w:p w:rsidR="000A2437" w:rsidRPr="00F611E4" w:rsidRDefault="00A64660" w:rsidP="00B43311">
            <w:pPr>
              <w:pStyle w:val="Nincstrkz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1E4">
              <w:rPr>
                <w:rFonts w:ascii="Times New Roman" w:hAnsi="Times New Roman"/>
                <w:sz w:val="26"/>
                <w:szCs w:val="26"/>
              </w:rPr>
              <w:t>A jogviszony alanya: jogképesség, cselekvőképesség fogalma tartalma. Természetes személy</w:t>
            </w:r>
          </w:p>
        </w:tc>
        <w:tc>
          <w:tcPr>
            <w:tcW w:w="3773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0A2437" w:rsidRPr="00B43311" w:rsidTr="00642BCD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6. oktatási hét</w:t>
            </w:r>
          </w:p>
        </w:tc>
        <w:tc>
          <w:tcPr>
            <w:tcW w:w="4303" w:type="dxa"/>
          </w:tcPr>
          <w:p w:rsidR="000A2437" w:rsidRPr="00F611E4" w:rsidRDefault="00A64660" w:rsidP="00B43311">
            <w:pPr>
              <w:pStyle w:val="Nincstrkz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1E4">
              <w:rPr>
                <w:rFonts w:ascii="Times New Roman" w:hAnsi="Times New Roman"/>
                <w:sz w:val="26"/>
                <w:szCs w:val="26"/>
              </w:rPr>
              <w:t>Jogi személy létrejötte, bemutatása. Az állam</w:t>
            </w:r>
            <w:r w:rsidR="00620FB3" w:rsidRPr="00F611E4">
              <w:rPr>
                <w:rFonts w:ascii="Times New Roman" w:hAnsi="Times New Roman"/>
                <w:sz w:val="26"/>
                <w:szCs w:val="26"/>
              </w:rPr>
              <w:t>,</w:t>
            </w:r>
            <w:r w:rsidRPr="00F611E4">
              <w:rPr>
                <w:rFonts w:ascii="Times New Roman" w:hAnsi="Times New Roman"/>
                <w:sz w:val="26"/>
                <w:szCs w:val="26"/>
              </w:rPr>
              <w:t xml:space="preserve"> mint jogalany</w:t>
            </w:r>
          </w:p>
        </w:tc>
        <w:tc>
          <w:tcPr>
            <w:tcW w:w="3773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0A2437" w:rsidRPr="00B43311" w:rsidTr="00642BCD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7. oktatási hét</w:t>
            </w:r>
          </w:p>
        </w:tc>
        <w:tc>
          <w:tcPr>
            <w:tcW w:w="4303" w:type="dxa"/>
          </w:tcPr>
          <w:p w:rsidR="000A2437" w:rsidRPr="00F611E4" w:rsidRDefault="00620FB3" w:rsidP="00B43311">
            <w:pPr>
              <w:pStyle w:val="Nincstrkz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1E4">
              <w:rPr>
                <w:rFonts w:ascii="Times New Roman" w:hAnsi="Times New Roman"/>
                <w:sz w:val="26"/>
                <w:szCs w:val="26"/>
              </w:rPr>
              <w:t>A szerződés fogalma, létrejötte, formái</w:t>
            </w:r>
          </w:p>
        </w:tc>
        <w:tc>
          <w:tcPr>
            <w:tcW w:w="3773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0A2437" w:rsidRPr="00B43311" w:rsidTr="00642BCD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8. oktatási hét</w:t>
            </w:r>
          </w:p>
        </w:tc>
        <w:tc>
          <w:tcPr>
            <w:tcW w:w="4303" w:type="dxa"/>
          </w:tcPr>
          <w:p w:rsidR="00620FB3" w:rsidRPr="00F611E4" w:rsidRDefault="00620FB3" w:rsidP="00620FB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611E4">
              <w:rPr>
                <w:rFonts w:ascii="Times New Roman" w:hAnsi="Times New Roman"/>
                <w:bCs/>
                <w:sz w:val="26"/>
                <w:szCs w:val="26"/>
              </w:rPr>
              <w:t>A szerződést biztosító mellékkötelezettségek részletes bemutatása, (foglaló, kötbér, zálog, kezesség, bankgarancia, jótállás)</w:t>
            </w:r>
          </w:p>
        </w:tc>
        <w:tc>
          <w:tcPr>
            <w:tcW w:w="3773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0A2437" w:rsidRPr="00B43311" w:rsidTr="00642BCD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9. oktatási hét</w:t>
            </w:r>
          </w:p>
        </w:tc>
        <w:tc>
          <w:tcPr>
            <w:tcW w:w="4303" w:type="dxa"/>
          </w:tcPr>
          <w:p w:rsidR="00620FB3" w:rsidRPr="00F611E4" w:rsidRDefault="00620FB3" w:rsidP="00620FB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611E4">
              <w:rPr>
                <w:rFonts w:ascii="Times New Roman" w:hAnsi="Times New Roman"/>
                <w:bCs/>
                <w:sz w:val="26"/>
                <w:szCs w:val="26"/>
              </w:rPr>
              <w:t xml:space="preserve">A szerződés érvénytelensége I.: semmisség </w:t>
            </w:r>
          </w:p>
        </w:tc>
        <w:tc>
          <w:tcPr>
            <w:tcW w:w="3773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0A2437" w:rsidRPr="00B43311" w:rsidTr="00642BCD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10. oktatási hét</w:t>
            </w:r>
          </w:p>
        </w:tc>
        <w:tc>
          <w:tcPr>
            <w:tcW w:w="4303" w:type="dxa"/>
          </w:tcPr>
          <w:p w:rsidR="000A2437" w:rsidRPr="00F611E4" w:rsidRDefault="00F611E4" w:rsidP="00F611E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611E4">
              <w:rPr>
                <w:rFonts w:ascii="Times New Roman" w:hAnsi="Times New Roman"/>
                <w:bCs/>
                <w:sz w:val="26"/>
                <w:szCs w:val="26"/>
              </w:rPr>
              <w:t xml:space="preserve">A szerződés érvénytelensége </w:t>
            </w:r>
            <w:proofErr w:type="gramStart"/>
            <w:r w:rsidRPr="00F611E4">
              <w:rPr>
                <w:rFonts w:ascii="Times New Roman" w:hAnsi="Times New Roman"/>
                <w:bCs/>
                <w:sz w:val="26"/>
                <w:szCs w:val="26"/>
              </w:rPr>
              <w:t>II. :</w:t>
            </w:r>
            <w:proofErr w:type="gramEnd"/>
            <w:r w:rsidRPr="00F611E4">
              <w:rPr>
                <w:rFonts w:ascii="Times New Roman" w:hAnsi="Times New Roman"/>
                <w:bCs/>
                <w:sz w:val="26"/>
                <w:szCs w:val="26"/>
              </w:rPr>
              <w:t xml:space="preserve"> megtámadhatóság,</w:t>
            </w:r>
          </w:p>
        </w:tc>
        <w:tc>
          <w:tcPr>
            <w:tcW w:w="3773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0A2437" w:rsidRPr="00B43311" w:rsidTr="00642BCD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 oktatási hét</w:t>
            </w:r>
          </w:p>
        </w:tc>
        <w:tc>
          <w:tcPr>
            <w:tcW w:w="4303" w:type="dxa"/>
          </w:tcPr>
          <w:p w:rsidR="00620FB3" w:rsidRPr="00F611E4" w:rsidRDefault="00F611E4" w:rsidP="00F611E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611E4">
              <w:rPr>
                <w:rFonts w:ascii="Times New Roman" w:hAnsi="Times New Roman"/>
                <w:bCs/>
                <w:sz w:val="26"/>
                <w:szCs w:val="26"/>
              </w:rPr>
              <w:t>A szerződés teljesítésére vonatkozó szabályok bemutatása, lehetetlenülés, elévülés,</w:t>
            </w:r>
          </w:p>
        </w:tc>
        <w:tc>
          <w:tcPr>
            <w:tcW w:w="3773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0A2437" w:rsidRPr="00B43311" w:rsidTr="00642BCD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12. oktatási hét</w:t>
            </w:r>
          </w:p>
        </w:tc>
        <w:tc>
          <w:tcPr>
            <w:tcW w:w="4303" w:type="dxa"/>
          </w:tcPr>
          <w:p w:rsidR="00620FB3" w:rsidRPr="00F611E4" w:rsidRDefault="00F611E4" w:rsidP="00F611E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611E4">
              <w:rPr>
                <w:rFonts w:ascii="Times New Roman" w:hAnsi="Times New Roman"/>
                <w:bCs/>
                <w:sz w:val="26"/>
                <w:szCs w:val="26"/>
              </w:rPr>
              <w:t>A kár</w:t>
            </w:r>
            <w:proofErr w:type="gramStart"/>
            <w:r w:rsidRPr="00F611E4">
              <w:rPr>
                <w:rFonts w:ascii="Times New Roman" w:hAnsi="Times New Roman"/>
                <w:bCs/>
                <w:sz w:val="26"/>
                <w:szCs w:val="26"/>
              </w:rPr>
              <w:t>felelőség</w:t>
            </w:r>
            <w:proofErr w:type="gramEnd"/>
            <w:r w:rsidRPr="00F611E4">
              <w:rPr>
                <w:rFonts w:ascii="Times New Roman" w:hAnsi="Times New Roman"/>
                <w:bCs/>
                <w:sz w:val="26"/>
                <w:szCs w:val="26"/>
              </w:rPr>
              <w:t xml:space="preserve"> általános szabályainak részletes bemutatása, kártérítés a magyar jogban,</w:t>
            </w:r>
          </w:p>
        </w:tc>
        <w:tc>
          <w:tcPr>
            <w:tcW w:w="3773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0A2437" w:rsidRPr="00B43311" w:rsidTr="00642BCD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13. oktatási hét</w:t>
            </w:r>
          </w:p>
        </w:tc>
        <w:tc>
          <w:tcPr>
            <w:tcW w:w="4303" w:type="dxa"/>
          </w:tcPr>
          <w:p w:rsidR="006703A5" w:rsidRDefault="006703A5" w:rsidP="00F611E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0FB3" w:rsidRPr="00F611E4" w:rsidRDefault="00F611E4" w:rsidP="00F611E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611E4">
              <w:rPr>
                <w:rFonts w:ascii="Times New Roman" w:hAnsi="Times New Roman"/>
                <w:bCs/>
                <w:sz w:val="26"/>
                <w:szCs w:val="26"/>
              </w:rPr>
              <w:t>Az adásvételi szerződés részletes bemutatása,</w:t>
            </w:r>
          </w:p>
        </w:tc>
        <w:tc>
          <w:tcPr>
            <w:tcW w:w="3773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0A2437" w:rsidRPr="00B43311" w:rsidTr="00642BCD">
        <w:trPr>
          <w:trHeight w:val="454"/>
        </w:trPr>
        <w:tc>
          <w:tcPr>
            <w:tcW w:w="2465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14. oktatási hét</w:t>
            </w:r>
          </w:p>
        </w:tc>
        <w:tc>
          <w:tcPr>
            <w:tcW w:w="4303" w:type="dxa"/>
          </w:tcPr>
          <w:p w:rsidR="00620FB3" w:rsidRPr="00F611E4" w:rsidRDefault="00F611E4" w:rsidP="00F611E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611E4">
              <w:rPr>
                <w:rFonts w:ascii="Times New Roman" w:hAnsi="Times New Roman"/>
                <w:bCs/>
                <w:sz w:val="26"/>
                <w:szCs w:val="26"/>
              </w:rPr>
              <w:t>A megbízási és a váll</w:t>
            </w:r>
            <w:r w:rsidR="006703A5">
              <w:rPr>
                <w:rFonts w:ascii="Times New Roman" w:hAnsi="Times New Roman"/>
                <w:bCs/>
                <w:sz w:val="26"/>
                <w:szCs w:val="26"/>
              </w:rPr>
              <w:t>alkozási, biztosítási szerződés</w:t>
            </w:r>
            <w:r w:rsidRPr="00F611E4">
              <w:rPr>
                <w:rFonts w:ascii="Times New Roman" w:hAnsi="Times New Roman"/>
                <w:bCs/>
                <w:sz w:val="26"/>
                <w:szCs w:val="26"/>
              </w:rPr>
              <w:t>, részletes bemutatása,</w:t>
            </w:r>
          </w:p>
        </w:tc>
        <w:tc>
          <w:tcPr>
            <w:tcW w:w="3773" w:type="dxa"/>
          </w:tcPr>
          <w:p w:rsidR="000A2437" w:rsidRPr="00B43311" w:rsidRDefault="000A2437" w:rsidP="00B43311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</w:tbl>
    <w:p w:rsidR="000A2437" w:rsidRDefault="000A2437" w:rsidP="00EB7913">
      <w:pPr>
        <w:pStyle w:val="Nincstrkz"/>
        <w:jc w:val="both"/>
        <w:rPr>
          <w:rFonts w:ascii="Garamond" w:hAnsi="Garamond"/>
          <w:b/>
          <w:sz w:val="40"/>
        </w:rPr>
      </w:pPr>
    </w:p>
    <w:p w:rsidR="00AE3B94" w:rsidRPr="009A4485" w:rsidRDefault="00AE3B94" w:rsidP="00AE3B94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E3B94" w:rsidRPr="009A4485" w:rsidRDefault="00AE3B94" w:rsidP="00AE3B94">
      <w:pPr>
        <w:pStyle w:val="Listaszerbekezds"/>
        <w:numPr>
          <w:ilvl w:val="0"/>
          <w:numId w:val="8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E3B94" w:rsidRPr="009A4485" w:rsidRDefault="00AE3B94" w:rsidP="00AE3B94">
      <w:pPr>
        <w:jc w:val="both"/>
        <w:rPr>
          <w:b/>
        </w:rPr>
      </w:pPr>
      <w:r w:rsidRPr="009A4485">
        <w:rPr>
          <w:b/>
        </w:rPr>
        <w:t>Félévi követelmény: kollokvium</w:t>
      </w:r>
      <w:bookmarkStart w:id="0" w:name="_GoBack"/>
      <w:bookmarkEnd w:id="0"/>
    </w:p>
    <w:p w:rsidR="00AE3B94" w:rsidRPr="009A4485" w:rsidRDefault="00AE3B94" w:rsidP="00AE3B94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AE3B94" w:rsidRPr="00CD33C8" w:rsidRDefault="00AE3B94" w:rsidP="00AE3B94">
      <w:pPr>
        <w:pStyle w:val="Listaszerbekezds"/>
        <w:numPr>
          <w:ilvl w:val="0"/>
          <w:numId w:val="8"/>
        </w:numPr>
        <w:jc w:val="both"/>
      </w:pPr>
      <w:r w:rsidRPr="00AE50B6">
        <w:t xml:space="preserve">vizsga típusa: </w:t>
      </w:r>
      <w:r>
        <w:t>szóbeli vagy írásbeli a hallgató választása szerint</w:t>
      </w:r>
    </w:p>
    <w:p w:rsidR="00AE3B94" w:rsidRPr="009A4485" w:rsidRDefault="00AE3B94" w:rsidP="00AE3B94">
      <w:pPr>
        <w:pStyle w:val="Listaszerbekezds"/>
        <w:numPr>
          <w:ilvl w:val="0"/>
          <w:numId w:val="8"/>
        </w:numPr>
        <w:jc w:val="both"/>
      </w:pPr>
      <w:r w:rsidRPr="00AE50B6">
        <w:t xml:space="preserve">vizsgára bocsátás feltétele: </w:t>
      </w:r>
      <w:r>
        <w:t>a tananyag elsajátítása</w:t>
      </w:r>
      <w:r w:rsidR="009A52A5">
        <w:t xml:space="preserve"> MOOC Üzleti ismeretek 5. 6. fejezet</w:t>
      </w:r>
    </w:p>
    <w:p w:rsidR="00AE3B94" w:rsidRPr="00B96C67" w:rsidRDefault="00AE3B94" w:rsidP="006703A5">
      <w:pPr>
        <w:ind w:left="1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>
        <w:t>írásbeli vagy</w:t>
      </w:r>
      <w:r w:rsidRPr="009A4485">
        <w:t xml:space="preserve"> szóbeli. </w:t>
      </w:r>
    </w:p>
    <w:p w:rsidR="00AE3B94" w:rsidRPr="009A4485" w:rsidRDefault="00AE3B94" w:rsidP="00AE3B94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AE3B94" w:rsidRPr="00AE3B94" w:rsidRDefault="00AE3B94" w:rsidP="00AE3B94">
      <w:r>
        <w:t>A hallgatónak az írásban vagy szóban feltett kérdésekből legalább 60 %-</w:t>
      </w:r>
      <w:proofErr w:type="spellStart"/>
      <w:r w:rsidR="00CD12F8">
        <w:t>ot</w:t>
      </w:r>
      <w:proofErr w:type="spellEnd"/>
      <w:r w:rsidR="00CD12F8">
        <w:t xml:space="preserve"> kell jól megoldani, hogy a vizsgája sikerüljön.</w:t>
      </w:r>
    </w:p>
    <w:p w:rsidR="00AE3B94" w:rsidRPr="009A4485" w:rsidRDefault="00AE3B94" w:rsidP="00AE3B94"/>
    <w:p w:rsidR="000A2437" w:rsidRPr="00EB7913" w:rsidRDefault="000A2437" w:rsidP="00AE3B94">
      <w:pPr>
        <w:pStyle w:val="Nincstrkz"/>
        <w:rPr>
          <w:rFonts w:ascii="Garamond" w:hAnsi="Garamond"/>
          <w:b/>
          <w:sz w:val="40"/>
        </w:rPr>
      </w:pPr>
    </w:p>
    <w:p w:rsidR="000A2437" w:rsidRDefault="000A2437"/>
    <w:sectPr w:rsidR="000A2437" w:rsidSect="00EB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D92"/>
    <w:multiLevelType w:val="hybridMultilevel"/>
    <w:tmpl w:val="BFC815B8"/>
    <w:lvl w:ilvl="0" w:tplc="17D2130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8D4D36"/>
    <w:multiLevelType w:val="hybridMultilevel"/>
    <w:tmpl w:val="1244345C"/>
    <w:lvl w:ilvl="0" w:tplc="22206EF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7619E"/>
    <w:multiLevelType w:val="hybridMultilevel"/>
    <w:tmpl w:val="4E1629DA"/>
    <w:lvl w:ilvl="0" w:tplc="50F4261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D140C1"/>
    <w:multiLevelType w:val="hybridMultilevel"/>
    <w:tmpl w:val="945652DC"/>
    <w:lvl w:ilvl="0" w:tplc="BA8896C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F"/>
    <w:rsid w:val="00026D21"/>
    <w:rsid w:val="000A2437"/>
    <w:rsid w:val="000F7D43"/>
    <w:rsid w:val="00214D17"/>
    <w:rsid w:val="00394034"/>
    <w:rsid w:val="003A4FFF"/>
    <w:rsid w:val="003D24F4"/>
    <w:rsid w:val="00464B4B"/>
    <w:rsid w:val="00472BCD"/>
    <w:rsid w:val="00620FB3"/>
    <w:rsid w:val="00642BCD"/>
    <w:rsid w:val="006703A5"/>
    <w:rsid w:val="00837F4D"/>
    <w:rsid w:val="009A52A5"/>
    <w:rsid w:val="00A64660"/>
    <w:rsid w:val="00AE3B94"/>
    <w:rsid w:val="00B43311"/>
    <w:rsid w:val="00CD12F8"/>
    <w:rsid w:val="00DC0EC5"/>
    <w:rsid w:val="00EB7913"/>
    <w:rsid w:val="00F24C9D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BE653"/>
  <w15:docId w15:val="{861EE622-0628-4E06-936C-22FAAFF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B4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B7913"/>
    <w:rPr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EB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20F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NYÍREGYHÁZI EGYETEM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NYÍREGYHÁZI EGYETEM</dc:title>
  <dc:subject/>
  <dc:creator>user</dc:creator>
  <cp:keywords/>
  <dc:description/>
  <cp:lastModifiedBy>Nye</cp:lastModifiedBy>
  <cp:revision>2</cp:revision>
  <dcterms:created xsi:type="dcterms:W3CDTF">2016-09-05T09:33:00Z</dcterms:created>
  <dcterms:modified xsi:type="dcterms:W3CDTF">2021-01-30T20:08:00Z</dcterms:modified>
</cp:coreProperties>
</file>